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970B" w14:textId="5DC789DF" w:rsidR="009D63CB" w:rsidRDefault="00492BC0" w:rsidP="00492BC0">
      <w:pPr>
        <w:tabs>
          <w:tab w:val="left" w:pos="4069"/>
        </w:tabs>
        <w:jc w:val="both"/>
      </w:pPr>
      <w:r>
        <w:rPr>
          <w:noProof/>
        </w:rPr>
        <w:drawing>
          <wp:inline distT="0" distB="0" distL="0" distR="0" wp14:anchorId="4B010607" wp14:editId="01512878">
            <wp:extent cx="1645920" cy="795528"/>
            <wp:effectExtent l="0" t="0" r="5080" b="5080"/>
            <wp:docPr id="1884253805" name="Picture 2" descr="T1D Exchange Homepage - T1D Ex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1D Exchange Homepage - T1D Exchan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5B4796B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Beta Cell Preservation Working Group</w:t>
      </w:r>
    </w:p>
    <w:p w14:paraId="47A2B5C4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Minutes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10, 2025 | The Whitley, Atlanta, GA</w:t>
      </w:r>
    </w:p>
    <w:p w14:paraId="48240D60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Participants</w:t>
      </w:r>
    </w:p>
    <w:p w14:paraId="2A21E84E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In-person: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Lauren Culbreth (TCH); Laura Jacobsen (UFL); Shideh Majidi (Children’s National); Naomi Fogel (Lurie Children’s); Carla Demeterco-Berggren (Rady); Jen Sherr (Yale)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T1D Exchange: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David Walton, Debbie Taylor, Nicole Rioles, Trevon Wright, Ori </w:t>
      </w:r>
      <w:proofErr w:type="spellStart"/>
      <w:r w:rsidRPr="00492BC0">
        <w:rPr>
          <w:rFonts w:ascii="Times New Roman" w:eastAsia="Times New Roman" w:hAnsi="Times New Roman" w:cs="Times New Roman"/>
          <w:kern w:val="0"/>
          <w14:ligatures w14:val="none"/>
        </w:rPr>
        <w:t>Odugbesan</w:t>
      </w:r>
      <w:proofErr w:type="spellEnd"/>
      <w:r w:rsidRPr="00492BC0">
        <w:rPr>
          <w:rFonts w:ascii="Times New Roman" w:eastAsia="Times New Roman" w:hAnsi="Times New Roman" w:cs="Times New Roman"/>
          <w:kern w:val="0"/>
          <w14:ligatures w14:val="none"/>
        </w:rPr>
        <w:t>, Jaime Lucove, Alyssa Cabrera, Claire Rainey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Remote: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Dan DeSalvo (TCH); Vana Raman (Utah); David Broome (U Michigan); Alex Tuttle (Indiana/Riley); Mary Pat Gallagher (Hassenfeld); Jacqueline </w:t>
      </w:r>
      <w:proofErr w:type="spellStart"/>
      <w:r w:rsidRPr="00492BC0">
        <w:rPr>
          <w:rFonts w:ascii="Times New Roman" w:eastAsia="Times New Roman" w:hAnsi="Times New Roman" w:cs="Times New Roman"/>
          <w:kern w:val="0"/>
          <w14:ligatures w14:val="none"/>
        </w:rPr>
        <w:t>Lonier</w:t>
      </w:r>
      <w:proofErr w:type="spellEnd"/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(Berrie Center); Brittany Williams (U Michigan); Todd Alonso (BDC)</w:t>
      </w:r>
    </w:p>
    <w:p w14:paraId="71D9B64D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BE9F129">
          <v:rect id="_x0000_i1025" style="width:468pt;height:.05pt" o:hralign="center" o:hrstd="t" o:hr="t" fillcolor="#a0a0a0" stroked="f"/>
        </w:pict>
      </w:r>
    </w:p>
    <w:p w14:paraId="48338A21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Welcome and Objectives</w:t>
      </w:r>
    </w:p>
    <w:p w14:paraId="7C46EBE0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Dr. Demeterco-Berggren reviewed the pilot year, including study goals, screening workflows at Rady Children’s, and the rationale for early detection and intervention in T1D.</w:t>
      </w:r>
    </w:p>
    <w:p w14:paraId="47D3F30D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Key points:</w:t>
      </w:r>
    </w:p>
    <w:p w14:paraId="29200B2C" w14:textId="77777777" w:rsidR="00492BC0" w:rsidRPr="00492BC0" w:rsidRDefault="00492BC0" w:rsidP="0049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Screening is valuable for identifying high-risk individuals and preventing DKA.</w:t>
      </w:r>
    </w:p>
    <w:p w14:paraId="4D595B78" w14:textId="77777777" w:rsidR="00492BC0" w:rsidRPr="00492BC0" w:rsidRDefault="00492BC0" w:rsidP="0049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Major barriers: clinic time, space, staff training, and patient willingness.</w:t>
      </w:r>
    </w:p>
    <w:p w14:paraId="7816E52E" w14:textId="77777777" w:rsidR="00492BC0" w:rsidRPr="00492BC0" w:rsidRDefault="00492BC0" w:rsidP="0049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Beta cell preservation offers potential to slow progression and enable early interventions such as teplizumab.</w:t>
      </w:r>
    </w:p>
    <w:p w14:paraId="216306B4" w14:textId="77777777" w:rsidR="00492BC0" w:rsidRPr="00492BC0" w:rsidRDefault="00492BC0" w:rsidP="00492B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Several gaps were identified in practice and data infrastructure.</w:t>
      </w:r>
    </w:p>
    <w:p w14:paraId="6F04FDEE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8D5788C">
          <v:rect id="_x0000_i1026" style="width:468pt;height:.05pt" o:hralign="center" o:hrstd="t" o:hr="t" fillcolor="#a0a0a0" stroked="f"/>
        </w:pict>
      </w:r>
    </w:p>
    <w:p w14:paraId="2D8E8BCC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Proposed Timeline</w:t>
      </w:r>
    </w:p>
    <w:p w14:paraId="5095E002" w14:textId="7873DCC0" w:rsidR="00492BC0" w:rsidRPr="00492BC0" w:rsidRDefault="00492BC0" w:rsidP="0049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White paper draft: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December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22,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20BF90D5" w14:textId="4FCCAD60" w:rsidR="00492BC0" w:rsidRPr="00492BC0" w:rsidRDefault="00492BC0" w:rsidP="0049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Case study on financial impact of new therapies: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December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22,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702408A1" w14:textId="77777777" w:rsidR="00492BC0" w:rsidRPr="00492BC0" w:rsidRDefault="00492BC0" w:rsidP="0049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Commentary submission: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Jan–Feb 2026</w:t>
      </w:r>
    </w:p>
    <w:p w14:paraId="316BECBE" w14:textId="77777777" w:rsidR="00492BC0" w:rsidRPr="00492BC0" w:rsidRDefault="00492BC0" w:rsidP="00492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Perspective article submission: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March 2026</w:t>
      </w:r>
    </w:p>
    <w:p w14:paraId="14661037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07E9E14">
          <v:rect id="_x0000_i1027" style="width:468pt;height:.05pt" o:hralign="center" o:hrstd="t" o:hr="t" fillcolor="#a0a0a0" stroked="f"/>
        </w:pict>
      </w:r>
    </w:p>
    <w:p w14:paraId="2A88C3A1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Data Metrics Discussion</w:t>
      </w:r>
    </w:p>
    <w:p w14:paraId="5BC5D36D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The two-center pilot (Rady and University of Florida) reviewed candidate metrics.</w:t>
      </w:r>
    </w:p>
    <w:p w14:paraId="4F4CD191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Key themes:</w:t>
      </w:r>
    </w:p>
    <w:p w14:paraId="511080C4" w14:textId="77777777" w:rsidR="00492BC0" w:rsidRPr="00492BC0" w:rsidRDefault="00492BC0" w:rsidP="0049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Need to distinguish “low-hanging fruit” metrics from those difficult to obtain consistently.</w:t>
      </w:r>
    </w:p>
    <w:p w14:paraId="0128B7EC" w14:textId="77777777" w:rsidR="00492BC0" w:rsidRPr="00492BC0" w:rsidRDefault="00492BC0" w:rsidP="0049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EMR variability: some metrics are routinely captured; others are absent or inconsistently documented.</w:t>
      </w:r>
    </w:p>
    <w:p w14:paraId="12248E9C" w14:textId="77777777" w:rsidR="00492BC0" w:rsidRPr="00492BC0" w:rsidRDefault="00492BC0" w:rsidP="0049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Important metrics identified:</w:t>
      </w:r>
    </w:p>
    <w:p w14:paraId="1F7FC127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Date of diagnosis (ideally via a standardized smart form).</w:t>
      </w:r>
    </w:p>
    <w:p w14:paraId="0321C947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Stage at diagnosis (1, 2, or 3) with dedicated EMR fields.</w:t>
      </w:r>
    </w:p>
    <w:p w14:paraId="42336B4B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C-peptide as an indicator of residual beta cell function.</w:t>
      </w:r>
    </w:p>
    <w:p w14:paraId="49A7EACF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Teplizumab prescribing patterns and treatment completion.</w:t>
      </w:r>
    </w:p>
    <w:p w14:paraId="49E7F618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Date of insulin initiation.</w:t>
      </w:r>
    </w:p>
    <w:p w14:paraId="62D8C9F6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Screening registry to benchmark screening activity.</w:t>
      </w:r>
    </w:p>
    <w:p w14:paraId="31C8DB01" w14:textId="77777777" w:rsidR="00492BC0" w:rsidRPr="00492BC0" w:rsidRDefault="00492BC0" w:rsidP="00492B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CGM/TIR to be incorporated in future phases.</w:t>
      </w:r>
    </w:p>
    <w:p w14:paraId="018679C7" w14:textId="77777777" w:rsidR="00492BC0" w:rsidRPr="00492BC0" w:rsidRDefault="00492BC0" w:rsidP="0049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Consensus that metrics should be integrated into the broader T1DX data specification, not maintained in a separate database.</w:t>
      </w:r>
    </w:p>
    <w:p w14:paraId="1EFA748D" w14:textId="77777777" w:rsidR="00492BC0" w:rsidRPr="00492BC0" w:rsidRDefault="00492BC0" w:rsidP="00492B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ADA guidance is needed to reduce clinical inertia around staging and early intervention.</w:t>
      </w:r>
    </w:p>
    <w:p w14:paraId="095613FA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4832B7A">
          <v:rect id="_x0000_i1028" style="width:468pt;height:.05pt" o:hralign="center" o:hrstd="t" o:hr="t" fillcolor="#a0a0a0" stroked="f"/>
        </w:pict>
      </w:r>
    </w:p>
    <w:p w14:paraId="46491920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Barriers and Data Use Agreements</w:t>
      </w:r>
    </w:p>
    <w:p w14:paraId="7D55C4C3" w14:textId="77777777" w:rsidR="00492BC0" w:rsidRPr="00492BC0" w:rsidRDefault="00492BC0" w:rsidP="00492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Need to document reasons for non-use of teplizumab (e.g., not offered, clinical trial participation, refusal).</w:t>
      </w:r>
    </w:p>
    <w:p w14:paraId="5E6A7728" w14:textId="77777777" w:rsidR="00492BC0" w:rsidRPr="00492BC0" w:rsidRDefault="00492BC0" w:rsidP="00492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Some institutions require IRB approval despite QI classification; harmonization of data use pathways is needed.</w:t>
      </w:r>
    </w:p>
    <w:p w14:paraId="356A1F36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727A25D">
          <v:rect id="_x0000_i1029" style="width:468pt;height:.05pt" o:hralign="center" o:hrstd="t" o:hr="t" fillcolor="#a0a0a0" stroked="f"/>
        </w:pict>
      </w:r>
    </w:p>
    <w:p w14:paraId="433C20C0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Developing a QI Framework for Teplizumab</w:t>
      </w:r>
    </w:p>
    <w:p w14:paraId="74C14030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Focus areas:</w:t>
      </w:r>
    </w:p>
    <w:p w14:paraId="34C8547E" w14:textId="77777777" w:rsidR="00492BC0" w:rsidRPr="00492BC0" w:rsidRDefault="00492BC0" w:rsidP="0049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Standardizing processes and EMR protocols for post-diagnosis (stage 3) introduction of teplizumab.</w:t>
      </w:r>
    </w:p>
    <w:p w14:paraId="045E4490" w14:textId="77777777" w:rsidR="00492BC0" w:rsidRPr="00492BC0" w:rsidRDefault="00492BC0" w:rsidP="0049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Defining required labs and monitoring protocols.</w:t>
      </w:r>
    </w:p>
    <w:p w14:paraId="2F78F32C" w14:textId="77777777" w:rsidR="00492BC0" w:rsidRPr="00492BC0" w:rsidRDefault="00492BC0" w:rsidP="0049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Collecting and sharing institutional workflows and clinical pathways.</w:t>
      </w:r>
    </w:p>
    <w:p w14:paraId="4E15B4ED" w14:textId="77777777" w:rsidR="00492BC0" w:rsidRPr="00492BC0" w:rsidRDefault="00492BC0" w:rsidP="0049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Case studies addressing staffing and FTE needs.</w:t>
      </w:r>
    </w:p>
    <w:p w14:paraId="31CACF0D" w14:textId="77777777" w:rsidR="00492BC0" w:rsidRPr="00492BC0" w:rsidRDefault="00492BC0" w:rsidP="0049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Exploration of external models (e.g., Breakthrough T1D centers of excellence; UTSW infrastructure).</w:t>
      </w:r>
    </w:p>
    <w:p w14:paraId="4C75EF3A" w14:textId="77777777" w:rsidR="00492BC0" w:rsidRPr="00492BC0" w:rsidRDefault="00492BC0" w:rsidP="00492B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Preparation of business-case templates and flowsheets (e.g., Texas Children’s example).</w:t>
      </w:r>
    </w:p>
    <w:p w14:paraId="6367652D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68CA8B9">
          <v:rect id="_x0000_i1030" style="width:468pt;height:.05pt" o:hralign="center" o:hrstd="t" o:hr="t" fillcolor="#a0a0a0" stroked="f"/>
        </w:pict>
      </w:r>
    </w:p>
    <w:p w14:paraId="10A158C6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Roles and Workstreams</w:t>
      </w:r>
    </w:p>
    <w:p w14:paraId="18D76D36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Writing and Publications</w:t>
      </w:r>
    </w:p>
    <w:p w14:paraId="1B857CD2" w14:textId="77777777" w:rsidR="00492BC0" w:rsidRPr="00492BC0" w:rsidRDefault="00492BC0" w:rsidP="00492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White paper / best practice guide: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Group effort.</w:t>
      </w:r>
    </w:p>
    <w:p w14:paraId="6B1253B6" w14:textId="77777777" w:rsidR="00492BC0" w:rsidRPr="00492BC0" w:rsidRDefault="00492BC0" w:rsidP="00492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Commentary (Jan 2026):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Drs. Jacobsen and Demeterco-Berggren.</w:t>
      </w:r>
    </w:p>
    <w:p w14:paraId="39225BA3" w14:textId="77777777" w:rsidR="00492BC0" w:rsidRPr="00492BC0" w:rsidRDefault="00492BC0" w:rsidP="00492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Perspective (Feb–Mar 2026):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Collaboration; Dr. Broome to contact JCEM.</w:t>
      </w:r>
    </w:p>
    <w:p w14:paraId="7622530E" w14:textId="77777777" w:rsidR="00492BC0" w:rsidRPr="00492BC0" w:rsidRDefault="00492BC0" w:rsidP="00492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All participants will be invited as co-authors.</w:t>
      </w:r>
    </w:p>
    <w:p w14:paraId="1DD92DEF" w14:textId="77777777" w:rsidR="00492BC0" w:rsidRPr="00492BC0" w:rsidRDefault="00492BC0" w:rsidP="00492B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Working group membership to be listed in an appendix.</w:t>
      </w:r>
    </w:p>
    <w:p w14:paraId="2FC3E83E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Working Group</w:t>
      </w:r>
    </w:p>
    <w:p w14:paraId="09B151C4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Drs. Sherr, Broome, Alonso, Demeterco-Berggren, Majidi, Gallagher, Raman, Aguirre.</w:t>
      </w:r>
    </w:p>
    <w:p w14:paraId="729A8B5D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Focus: clinical eligibility pathways, prescriber workflows, financial modeling, and business case strategy.</w:t>
      </w:r>
    </w:p>
    <w:p w14:paraId="2DE173B6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Measures Group</w:t>
      </w:r>
    </w:p>
    <w:p w14:paraId="3D20C96F" w14:textId="77777777" w:rsidR="00492BC0" w:rsidRPr="00492BC0" w:rsidRDefault="00492BC0" w:rsidP="0049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Drs. Jacobsen, DeSalvo, Fogel, Gallagher, and Demeterco-Berggren.</w:t>
      </w:r>
    </w:p>
    <w:p w14:paraId="2DDC89A2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D317A00">
          <v:rect id="_x0000_i1031" style="width:468pt;height:.05pt" o:hralign="center" o:hrstd="t" o:hr="t" fillcolor="#a0a0a0" stroked="f"/>
        </w:pict>
      </w:r>
    </w:p>
    <w:p w14:paraId="0098CB52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Additional Stakeholders to Engage</w:t>
      </w:r>
    </w:p>
    <w:p w14:paraId="00BCB680" w14:textId="77777777" w:rsidR="00492BC0" w:rsidRPr="00492BC0" w:rsidRDefault="00492BC0" w:rsidP="00492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Rebecca Aguirre (Texas Children’s)</w:t>
      </w:r>
    </w:p>
    <w:p w14:paraId="62B1F855" w14:textId="77777777" w:rsidR="00492BC0" w:rsidRPr="00492BC0" w:rsidRDefault="00492BC0" w:rsidP="00492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David Sparling (Oklahoma)</w:t>
      </w:r>
    </w:p>
    <w:p w14:paraId="6090C42E" w14:textId="77777777" w:rsidR="00492BC0" w:rsidRPr="00492BC0" w:rsidRDefault="00492BC0" w:rsidP="00492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Kimber Simmons (BDC)</w:t>
      </w:r>
    </w:p>
    <w:p w14:paraId="2CC30E80" w14:textId="77777777" w:rsidR="00492BC0" w:rsidRPr="00492BC0" w:rsidRDefault="00492BC0" w:rsidP="00492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Joyce Lee and Inas Thomas (U Michigan)</w:t>
      </w:r>
    </w:p>
    <w:p w14:paraId="52100CA8" w14:textId="77777777" w:rsidR="00492BC0" w:rsidRPr="00492BC0" w:rsidRDefault="00492BC0" w:rsidP="00492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Breakthrough T1D (Dr. Danne) regarding center-of-excellence alignment</w:t>
      </w:r>
    </w:p>
    <w:p w14:paraId="4CC25FCC" w14:textId="77777777" w:rsidR="00492BC0" w:rsidRPr="00492BC0" w:rsidRDefault="00492BC0" w:rsidP="00492B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Sanofi (industry engagement)</w:t>
      </w:r>
    </w:p>
    <w:p w14:paraId="57E1FBFC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E224610">
          <v:rect id="_x0000_i1032" style="width:468pt;height:.05pt" o:hralign="center" o:hrstd="t" o:hr="t" fillcolor="#a0a0a0" stroked="f"/>
        </w:pict>
      </w:r>
    </w:p>
    <w:p w14:paraId="138CDB73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Assignments and Deliverables</w:t>
      </w:r>
    </w:p>
    <w:p w14:paraId="1DCB89A5" w14:textId="77777777" w:rsidR="00492BC0" w:rsidRPr="00492BC0" w:rsidRDefault="00492BC0" w:rsidP="00492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Integrate patient care workflows with data collection.</w:t>
      </w:r>
    </w:p>
    <w:p w14:paraId="246C41A1" w14:textId="2178F0CF" w:rsidR="00492BC0" w:rsidRPr="00492BC0" w:rsidRDefault="00492BC0" w:rsidP="2D8B0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Establish a health equity subgroup </w:t>
      </w:r>
      <w:r w:rsidR="69D9B955" w:rsidRPr="00492BC0">
        <w:rPr>
          <w:rFonts w:ascii="Times New Roman" w:eastAsia="Times New Roman" w:hAnsi="Times New Roman" w:cs="Times New Roman"/>
          <w:kern w:val="0"/>
          <w14:ligatures w14:val="none"/>
        </w:rPr>
        <w:t>co-</w:t>
      </w:r>
      <w:r w:rsidR="5721D9DD"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led by Dr. Majidi </w:t>
      </w:r>
      <w:r w:rsidR="796BD994"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(patient equity topics) and Dr. Gallagher (staff equity topics) 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to address:</w:t>
      </w:r>
    </w:p>
    <w:p w14:paraId="681E8A4A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Access to teplizumab (including Medicaid barriers).</w:t>
      </w:r>
    </w:p>
    <w:p w14:paraId="76AC19B0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Clinic-level resource variation.</w:t>
      </w:r>
    </w:p>
    <w:p w14:paraId="436268DA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Reasons for payer denials.</w:t>
      </w:r>
    </w:p>
    <w:p w14:paraId="315D4D09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Staff and patient/family education materials.</w:t>
      </w:r>
    </w:p>
    <w:p w14:paraId="636123F1" w14:textId="77777777" w:rsidR="00492BC0" w:rsidRPr="00492BC0" w:rsidRDefault="00492BC0" w:rsidP="00492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Educational content:</w:t>
      </w:r>
    </w:p>
    <w:p w14:paraId="20ACADF1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Staff education – Dr. Jacobsen</w:t>
      </w:r>
    </w:p>
    <w:p w14:paraId="1B99C4C7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Family/PWD education – Dr. Demeterco-Berggren</w:t>
      </w:r>
    </w:p>
    <w:p w14:paraId="751ED20B" w14:textId="77777777" w:rsidR="00492BC0" w:rsidRPr="00492BC0" w:rsidRDefault="00492BC0" w:rsidP="00492BC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Letters of necessity – CNM</w:t>
      </w:r>
    </w:p>
    <w:p w14:paraId="3A6CE256" w14:textId="77777777" w:rsidR="00492BC0" w:rsidRPr="00492BC0" w:rsidRDefault="00492BC0" w:rsidP="00492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Revisit Dr. Sherr’s prior (unpublished) access-to-teplizumab survey.</w:t>
      </w:r>
    </w:p>
    <w:p w14:paraId="7E33DE1F" w14:textId="77777777" w:rsidR="00492BC0" w:rsidRPr="00492BC0" w:rsidRDefault="00492BC0" w:rsidP="00492B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Include insulin TDD monitoring considerations.</w:t>
      </w:r>
    </w:p>
    <w:p w14:paraId="26DD4625" w14:textId="77777777" w:rsidR="00492BC0" w:rsidRPr="00492BC0" w:rsidRDefault="00E52CE4" w:rsidP="00492B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3E6BB84">
          <v:rect id="_x0000_i1033" style="width:468pt;height:.05pt" o:hralign="center" o:hrstd="t" o:hr="t" fillcolor="#a0a0a0" stroked="f"/>
        </w:pict>
      </w:r>
    </w:p>
    <w:p w14:paraId="11D8CF16" w14:textId="77777777" w:rsidR="00492BC0" w:rsidRPr="00492BC0" w:rsidRDefault="00492BC0" w:rsidP="0049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Next Steps</w:t>
      </w:r>
    </w:p>
    <w:p w14:paraId="458D4A12" w14:textId="77777777" w:rsidR="00492BC0" w:rsidRPr="00492BC0" w:rsidRDefault="00492BC0" w:rsidP="00492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Distribute meeting minutes, journal spreadsheet, working group roster, and doodle poll for next meeting.</w:t>
      </w:r>
    </w:p>
    <w:p w14:paraId="585F6E87" w14:textId="77777777" w:rsidR="00492BC0" w:rsidRPr="00492BC0" w:rsidRDefault="00492BC0" w:rsidP="00492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Follow up with individuals connecting with David Sparling and other stakeholders.</w:t>
      </w:r>
    </w:p>
    <w:p w14:paraId="602010A6" w14:textId="77777777" w:rsidR="00492BC0" w:rsidRPr="00492BC0" w:rsidRDefault="00492BC0" w:rsidP="00492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T1DX to engage with Anton and the Data Science Committee.</w:t>
      </w:r>
    </w:p>
    <w:p w14:paraId="492BA7D1" w14:textId="77777777" w:rsidR="00492BC0" w:rsidRPr="00492BC0" w:rsidRDefault="00492BC0" w:rsidP="00492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kern w:val="0"/>
          <w14:ligatures w14:val="none"/>
        </w:rPr>
        <w:t>Schedule a dedicated financial workgroup meeting.</w:t>
      </w:r>
    </w:p>
    <w:p w14:paraId="6AADD6F6" w14:textId="7E28FF56" w:rsidR="00492BC0" w:rsidRPr="00492BC0" w:rsidRDefault="00492BC0" w:rsidP="00492B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2BC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meeting:</w:t>
      </w:r>
      <w:r w:rsidRPr="00492BC0">
        <w:rPr>
          <w:rFonts w:ascii="Times New Roman" w:eastAsia="Times New Roman" w:hAnsi="Times New Roman" w:cs="Times New Roman"/>
          <w:kern w:val="0"/>
          <w14:ligatures w14:val="none"/>
        </w:rPr>
        <w:t xml:space="preserve"> Early December (poll to follow).</w:t>
      </w:r>
    </w:p>
    <w:sectPr w:rsidR="00492BC0" w:rsidRPr="0049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6A3"/>
    <w:multiLevelType w:val="multilevel"/>
    <w:tmpl w:val="5A0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A41C7"/>
    <w:multiLevelType w:val="multilevel"/>
    <w:tmpl w:val="551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1526"/>
    <w:multiLevelType w:val="multilevel"/>
    <w:tmpl w:val="ED98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F0653"/>
    <w:multiLevelType w:val="multilevel"/>
    <w:tmpl w:val="95E0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020D7"/>
    <w:multiLevelType w:val="multilevel"/>
    <w:tmpl w:val="465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B3F91"/>
    <w:multiLevelType w:val="multilevel"/>
    <w:tmpl w:val="B19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B07FA"/>
    <w:multiLevelType w:val="multilevel"/>
    <w:tmpl w:val="470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06B17"/>
    <w:multiLevelType w:val="multilevel"/>
    <w:tmpl w:val="50F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C1CC2"/>
    <w:multiLevelType w:val="multilevel"/>
    <w:tmpl w:val="04B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202156">
    <w:abstractNumId w:val="0"/>
  </w:num>
  <w:num w:numId="2" w16cid:durableId="1677222660">
    <w:abstractNumId w:val="2"/>
  </w:num>
  <w:num w:numId="3" w16cid:durableId="533156637">
    <w:abstractNumId w:val="7"/>
  </w:num>
  <w:num w:numId="4" w16cid:durableId="578095132">
    <w:abstractNumId w:val="5"/>
  </w:num>
  <w:num w:numId="5" w16cid:durableId="155800602">
    <w:abstractNumId w:val="8"/>
  </w:num>
  <w:num w:numId="6" w16cid:durableId="126168518">
    <w:abstractNumId w:val="4"/>
  </w:num>
  <w:num w:numId="7" w16cid:durableId="926498611">
    <w:abstractNumId w:val="3"/>
  </w:num>
  <w:num w:numId="8" w16cid:durableId="885607662">
    <w:abstractNumId w:val="6"/>
  </w:num>
  <w:num w:numId="9" w16cid:durableId="158749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C0"/>
    <w:rsid w:val="002A0840"/>
    <w:rsid w:val="002E505F"/>
    <w:rsid w:val="00492BC0"/>
    <w:rsid w:val="005421EB"/>
    <w:rsid w:val="007E4D80"/>
    <w:rsid w:val="008A4653"/>
    <w:rsid w:val="00952B18"/>
    <w:rsid w:val="009D63CB"/>
    <w:rsid w:val="00A02156"/>
    <w:rsid w:val="00B073B9"/>
    <w:rsid w:val="00B93429"/>
    <w:rsid w:val="00C95EF3"/>
    <w:rsid w:val="00D535E9"/>
    <w:rsid w:val="00D86DD4"/>
    <w:rsid w:val="00E06F75"/>
    <w:rsid w:val="00E1702F"/>
    <w:rsid w:val="00E52CE4"/>
    <w:rsid w:val="2D8B0388"/>
    <w:rsid w:val="4180E8D8"/>
    <w:rsid w:val="5721D9DD"/>
    <w:rsid w:val="69D9B955"/>
    <w:rsid w:val="6D612C0C"/>
    <w:rsid w:val="796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3B70"/>
  <w15:chartTrackingRefBased/>
  <w15:docId w15:val="{3A3564E7-DA4C-48D4-8E80-87841EA5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BC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2B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7EC0BF2544418F02C0F48049A820" ma:contentTypeVersion="20" ma:contentTypeDescription="Create a new document." ma:contentTypeScope="" ma:versionID="18810cc4c55cb84b30f10de76771b1be">
  <xsd:schema xmlns:xsd="http://www.w3.org/2001/XMLSchema" xmlns:xs="http://www.w3.org/2001/XMLSchema" xmlns:p="http://schemas.microsoft.com/office/2006/metadata/properties" xmlns:ns2="626cb74e-9669-4fd8-87b3-351e3976c142" xmlns:ns3="2f7b054f-be38-41d2-978f-3d651b980644" targetNamespace="http://schemas.microsoft.com/office/2006/metadata/properties" ma:root="true" ma:fieldsID="54ec4579b3dec1060686673f2321ce88" ns2:_="" ns3:_="">
    <xsd:import namespace="626cb74e-9669-4fd8-87b3-351e3976c142"/>
    <xsd:import namespace="2f7b054f-be38-41d2-978f-3d651b980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b74e-9669-4fd8-87b3-351e3976c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708ab6-8f93-4a47-82a9-702180f09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b054f-be38-41d2-978f-3d651b980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4988c3-2911-4884-b1bb-ab625c693b77}" ma:internalName="TaxCatchAll" ma:showField="CatchAllData" ma:web="2f7b054f-be38-41d2-978f-3d651b980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cb74e-9669-4fd8-87b3-351e3976c142">
      <Terms xmlns="http://schemas.microsoft.com/office/infopath/2007/PartnerControls"/>
    </lcf76f155ced4ddcb4097134ff3c332f>
    <TaxCatchAll xmlns="2f7b054f-be38-41d2-978f-3d651b980644" xsi:nil="true"/>
  </documentManagement>
</p:properties>
</file>

<file path=customXml/itemProps1.xml><?xml version="1.0" encoding="utf-8"?>
<ds:datastoreItem xmlns:ds="http://schemas.openxmlformats.org/officeDocument/2006/customXml" ds:itemID="{89D68C3D-6797-4E69-980B-25ABA2AAF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b74e-9669-4fd8-87b3-351e3976c142"/>
    <ds:schemaRef ds:uri="2f7b054f-be38-41d2-978f-3d651b980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AFA82-E597-4089-9C4F-3A7C84988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989EE-4618-40DC-A04E-2BCB3CF2CED1}">
  <ds:schemaRefs>
    <ds:schemaRef ds:uri="http://schemas.microsoft.com/office/2006/metadata/properties"/>
    <ds:schemaRef ds:uri="http://schemas.microsoft.com/office/infopath/2007/PartnerControls"/>
    <ds:schemaRef ds:uri="626cb74e-9669-4fd8-87b3-351e3976c142"/>
    <ds:schemaRef ds:uri="2f7b054f-be38-41d2-978f-3d651b980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4218</Characters>
  <Application>Microsoft Office Word</Application>
  <DocSecurity>4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Rioles</dc:creator>
  <cp:keywords/>
  <dc:description/>
  <cp:lastModifiedBy>Nicole Rioles</cp:lastModifiedBy>
  <cp:revision>3</cp:revision>
  <dcterms:created xsi:type="dcterms:W3CDTF">2025-11-17T14:29:00Z</dcterms:created>
  <dcterms:modified xsi:type="dcterms:W3CDTF">2025-11-17T18:35:00Z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0x010100B84B7EC0BF2544418F02C0F48049A820</vt:lpwstr>
  </property>
  <property fmtid="{D5CDD505-2E9C-101B-9397-08002B2CF9AE}" pid="3" name="MediaServiceImageTags">
    <vt:lpwstr/>
  </property>
</Properties>
</file>