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44FBB" w14:textId="77777777" w:rsidR="0029372C" w:rsidRPr="00E73191" w:rsidRDefault="0029372C" w:rsidP="00292EAA">
      <w:pPr>
        <w:rPr>
          <w:rFonts w:cs="Arial"/>
          <w:sz w:val="22"/>
          <w:szCs w:val="22"/>
        </w:rPr>
      </w:pPr>
      <w:r w:rsidRPr="00E73191">
        <w:rPr>
          <w:rFonts w:cs="Arial"/>
          <w:noProof/>
          <w:sz w:val="22"/>
          <w:szCs w:val="22"/>
        </w:rPr>
        <w:drawing>
          <wp:inline distT="0" distB="0" distL="0" distR="0" wp14:anchorId="53C08EE3" wp14:editId="2C8FFFAA">
            <wp:extent cx="1408176" cy="676656"/>
            <wp:effectExtent l="0" t="0" r="1905" b="0"/>
            <wp:docPr id="305552110" name="Picture 2" descr="T1D Exchange Homepage - T1D Ex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1D Exchange Homepage - T1D Exchan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176" cy="67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3A68E" w14:textId="51A6D967" w:rsidR="0029372C" w:rsidRPr="00175F6E" w:rsidRDefault="0029372C" w:rsidP="0029372C">
      <w:pPr>
        <w:rPr>
          <w:rFonts w:cs="Arial"/>
          <w:b/>
          <w:bCs/>
        </w:rPr>
      </w:pPr>
      <w:r w:rsidRPr="00175F6E">
        <w:rPr>
          <w:rFonts w:cs="Arial"/>
          <w:b/>
          <w:bCs/>
        </w:rPr>
        <w:t xml:space="preserve">T2D </w:t>
      </w:r>
      <w:r w:rsidR="009F0AB9" w:rsidRPr="00175F6E">
        <w:rPr>
          <w:rFonts w:cs="Arial"/>
          <w:b/>
          <w:bCs/>
        </w:rPr>
        <w:t>Working Group</w:t>
      </w:r>
      <w:r w:rsidRPr="00175F6E">
        <w:rPr>
          <w:rFonts w:cs="Arial"/>
          <w:b/>
          <w:bCs/>
        </w:rPr>
        <w:t xml:space="preserve"> meeting</w:t>
      </w:r>
      <w:r w:rsidR="009F0AB9" w:rsidRPr="00175F6E">
        <w:rPr>
          <w:rFonts w:cs="Arial"/>
          <w:b/>
          <w:bCs/>
        </w:rPr>
        <w:t xml:space="preserve"> minutes</w:t>
      </w:r>
      <w:r w:rsidRPr="00175F6E">
        <w:rPr>
          <w:rFonts w:cs="Arial"/>
          <w:b/>
          <w:bCs/>
        </w:rPr>
        <w:t xml:space="preserve">, </w:t>
      </w:r>
      <w:r w:rsidR="009F0AB9" w:rsidRPr="00175F6E">
        <w:rPr>
          <w:rFonts w:cs="Arial"/>
          <w:b/>
          <w:bCs/>
        </w:rPr>
        <w:t xml:space="preserve">September </w:t>
      </w:r>
      <w:r w:rsidR="004A1D52" w:rsidRPr="00175F6E">
        <w:rPr>
          <w:rFonts w:cs="Arial"/>
          <w:b/>
          <w:bCs/>
        </w:rPr>
        <w:t>13</w:t>
      </w:r>
      <w:r w:rsidRPr="00175F6E">
        <w:rPr>
          <w:rFonts w:cs="Arial"/>
          <w:b/>
          <w:bCs/>
        </w:rPr>
        <w:t>, 2024</w:t>
      </w:r>
    </w:p>
    <w:p w14:paraId="061E579A" w14:textId="77777777" w:rsidR="0029372C" w:rsidRPr="00E73191" w:rsidRDefault="0029372C" w:rsidP="0029372C">
      <w:pPr>
        <w:pStyle w:val="ListParagraph"/>
        <w:ind w:left="1440"/>
        <w:rPr>
          <w:rFonts w:cs="Arial"/>
          <w:sz w:val="22"/>
          <w:szCs w:val="22"/>
        </w:rPr>
      </w:pPr>
    </w:p>
    <w:p w14:paraId="0970AA0B" w14:textId="584D27F9" w:rsidR="000E00FF" w:rsidRPr="00E73191" w:rsidRDefault="000E00FF" w:rsidP="000E00FF">
      <w:pPr>
        <w:rPr>
          <w:rFonts w:cs="Arial"/>
          <w:sz w:val="22"/>
          <w:szCs w:val="22"/>
        </w:rPr>
      </w:pPr>
      <w:r w:rsidRPr="5269A503">
        <w:rPr>
          <w:rFonts w:cs="Arial"/>
          <w:b/>
          <w:bCs/>
          <w:sz w:val="22"/>
          <w:szCs w:val="22"/>
        </w:rPr>
        <w:t>Participants</w:t>
      </w:r>
      <w:r w:rsidRPr="5269A503">
        <w:rPr>
          <w:rFonts w:cs="Arial"/>
          <w:sz w:val="22"/>
          <w:szCs w:val="22"/>
        </w:rPr>
        <w:t>:</w:t>
      </w:r>
      <w:r w:rsidR="00074709" w:rsidRPr="5269A503">
        <w:rPr>
          <w:rFonts w:cs="Arial"/>
          <w:sz w:val="22"/>
          <w:szCs w:val="22"/>
        </w:rPr>
        <w:t xml:space="preserve"> Tami Hannon,</w:t>
      </w:r>
      <w:r w:rsidRPr="5269A503">
        <w:rPr>
          <w:rFonts w:cs="Arial"/>
          <w:sz w:val="22"/>
          <w:szCs w:val="22"/>
        </w:rPr>
        <w:t xml:space="preserve"> </w:t>
      </w:r>
      <w:r w:rsidR="0028396B" w:rsidRPr="5269A503">
        <w:rPr>
          <w:rFonts w:cs="Arial"/>
          <w:sz w:val="22"/>
          <w:szCs w:val="22"/>
        </w:rPr>
        <w:t>Sejal Shah, Alissa Roberts, Liz Mann,</w:t>
      </w:r>
      <w:r w:rsidR="001E2BE6" w:rsidRPr="5269A503">
        <w:rPr>
          <w:rFonts w:cs="Arial"/>
          <w:sz w:val="22"/>
          <w:szCs w:val="22"/>
        </w:rPr>
        <w:t xml:space="preserve"> </w:t>
      </w:r>
      <w:r w:rsidR="007A64BE" w:rsidRPr="5269A503">
        <w:rPr>
          <w:rFonts w:cs="Arial"/>
          <w:sz w:val="22"/>
          <w:szCs w:val="22"/>
        </w:rPr>
        <w:t>Leena</w:t>
      </w:r>
      <w:r w:rsidR="0028396B" w:rsidRPr="5269A503">
        <w:rPr>
          <w:rFonts w:cs="Arial"/>
          <w:sz w:val="22"/>
          <w:szCs w:val="22"/>
        </w:rPr>
        <w:t xml:space="preserve"> </w:t>
      </w:r>
      <w:proofErr w:type="spellStart"/>
      <w:r w:rsidR="007A64BE" w:rsidRPr="5269A503">
        <w:rPr>
          <w:rFonts w:cs="Arial"/>
          <w:sz w:val="22"/>
          <w:szCs w:val="22"/>
        </w:rPr>
        <w:t>Mamilly</w:t>
      </w:r>
      <w:proofErr w:type="spellEnd"/>
      <w:r w:rsidR="007A64BE" w:rsidRPr="5269A503">
        <w:rPr>
          <w:rFonts w:cs="Arial"/>
          <w:sz w:val="22"/>
          <w:szCs w:val="22"/>
        </w:rPr>
        <w:t xml:space="preserve">, Megan Kelsey, </w:t>
      </w:r>
      <w:r w:rsidR="00CE51CE" w:rsidRPr="5269A503">
        <w:rPr>
          <w:rFonts w:cs="Arial"/>
          <w:sz w:val="22"/>
          <w:szCs w:val="22"/>
        </w:rPr>
        <w:t xml:space="preserve">Shideh Majidi, </w:t>
      </w:r>
      <w:r w:rsidR="007A64BE" w:rsidRPr="5269A503">
        <w:rPr>
          <w:rFonts w:cs="Arial"/>
          <w:sz w:val="22"/>
          <w:szCs w:val="22"/>
        </w:rPr>
        <w:t xml:space="preserve">Mark </w:t>
      </w:r>
      <w:r w:rsidR="003B5D12" w:rsidRPr="5269A503">
        <w:rPr>
          <w:rFonts w:cs="Arial"/>
          <w:sz w:val="22"/>
          <w:szCs w:val="22"/>
        </w:rPr>
        <w:t>Clements</w:t>
      </w:r>
      <w:r w:rsidR="007A64BE" w:rsidRPr="5269A503">
        <w:rPr>
          <w:rFonts w:cs="Arial"/>
          <w:sz w:val="22"/>
          <w:szCs w:val="22"/>
        </w:rPr>
        <w:t>,</w:t>
      </w:r>
      <w:r w:rsidR="003B5D12" w:rsidRPr="5269A503">
        <w:rPr>
          <w:rFonts w:cs="Arial"/>
          <w:sz w:val="22"/>
          <w:szCs w:val="22"/>
        </w:rPr>
        <w:t xml:space="preserve"> Ori Odugbesan, </w:t>
      </w:r>
      <w:r w:rsidR="00825A60" w:rsidRPr="5269A503">
        <w:rPr>
          <w:rFonts w:cs="Arial"/>
          <w:sz w:val="22"/>
          <w:szCs w:val="22"/>
        </w:rPr>
        <w:t xml:space="preserve">Ryan Brady, Grace Kim, </w:t>
      </w:r>
      <w:r w:rsidR="0024083E" w:rsidRPr="5269A503">
        <w:rPr>
          <w:rFonts w:cs="Arial"/>
          <w:sz w:val="22"/>
          <w:szCs w:val="22"/>
        </w:rPr>
        <w:t xml:space="preserve">Manu Kamboj, Carla </w:t>
      </w:r>
      <w:r w:rsidR="00E81971" w:rsidRPr="5269A503">
        <w:rPr>
          <w:rFonts w:cs="Arial"/>
          <w:sz w:val="22"/>
          <w:szCs w:val="22"/>
        </w:rPr>
        <w:t>Demeterco Be</w:t>
      </w:r>
      <w:r w:rsidR="00030A09" w:rsidRPr="5269A503">
        <w:rPr>
          <w:rFonts w:cs="Arial"/>
          <w:sz w:val="22"/>
          <w:szCs w:val="22"/>
        </w:rPr>
        <w:t>r</w:t>
      </w:r>
      <w:r w:rsidR="001E2BE6" w:rsidRPr="5269A503">
        <w:rPr>
          <w:rFonts w:cs="Arial"/>
          <w:sz w:val="22"/>
          <w:szCs w:val="22"/>
        </w:rPr>
        <w:t xml:space="preserve">ggren, </w:t>
      </w:r>
      <w:r w:rsidR="007C7FDB" w:rsidRPr="5269A503">
        <w:rPr>
          <w:rFonts w:cs="Arial"/>
          <w:sz w:val="22"/>
          <w:szCs w:val="22"/>
        </w:rPr>
        <w:t xml:space="preserve">Holly Hardison, </w:t>
      </w:r>
      <w:r w:rsidRPr="5269A503">
        <w:rPr>
          <w:rFonts w:cs="Arial"/>
          <w:sz w:val="22"/>
          <w:szCs w:val="22"/>
        </w:rPr>
        <w:t>Nicole Riole</w:t>
      </w:r>
      <w:r w:rsidR="2E06A7C4" w:rsidRPr="5269A503">
        <w:rPr>
          <w:rFonts w:cs="Arial"/>
          <w:sz w:val="22"/>
          <w:szCs w:val="22"/>
        </w:rPr>
        <w:t>s, Milli Vakharia, Rohan Henry, Sean DeLacey</w:t>
      </w:r>
      <w:r w:rsidR="7DAC105B" w:rsidRPr="5269A503">
        <w:rPr>
          <w:rFonts w:cs="Arial"/>
          <w:sz w:val="22"/>
          <w:szCs w:val="22"/>
        </w:rPr>
        <w:t>, Monica Bianco, Lily Chao, Anna Cymbaluk, Kristina Cossen</w:t>
      </w:r>
      <w:r w:rsidR="542C1956" w:rsidRPr="5269A503">
        <w:rPr>
          <w:rFonts w:cs="Arial"/>
          <w:sz w:val="22"/>
          <w:szCs w:val="22"/>
        </w:rPr>
        <w:t>, Shylaja Srinvasan</w:t>
      </w:r>
    </w:p>
    <w:tbl>
      <w:tblPr>
        <w:tblStyle w:val="TableGrid"/>
        <w:tblW w:w="9714" w:type="dxa"/>
        <w:tblInd w:w="1" w:type="dxa"/>
        <w:tblCellMar>
          <w:top w:w="47" w:type="dxa"/>
          <w:left w:w="64" w:type="dxa"/>
          <w:right w:w="91" w:type="dxa"/>
        </w:tblCellMar>
        <w:tblLook w:val="04A0" w:firstRow="1" w:lastRow="0" w:firstColumn="1" w:lastColumn="0" w:noHBand="0" w:noVBand="1"/>
      </w:tblPr>
      <w:tblGrid>
        <w:gridCol w:w="1617"/>
        <w:gridCol w:w="5487"/>
        <w:gridCol w:w="2610"/>
      </w:tblGrid>
      <w:tr w:rsidR="000E00FF" w:rsidRPr="00E73191" w14:paraId="5DC20DE3" w14:textId="77777777" w:rsidTr="00292EAA">
        <w:trPr>
          <w:trHeight w:val="27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C8DE"/>
          </w:tcPr>
          <w:p w14:paraId="4238279C" w14:textId="77777777" w:rsidR="000E00FF" w:rsidRPr="00E73191" w:rsidRDefault="000E00FF" w:rsidP="00CF78EB">
            <w:pPr>
              <w:ind w:left="43"/>
              <w:rPr>
                <w:rFonts w:cs="Arial"/>
                <w:sz w:val="22"/>
                <w:szCs w:val="22"/>
              </w:rPr>
            </w:pPr>
            <w:r w:rsidRPr="00E73191">
              <w:rPr>
                <w:rFonts w:cs="Arial"/>
                <w:b/>
                <w:sz w:val="22"/>
                <w:szCs w:val="22"/>
              </w:rPr>
              <w:t xml:space="preserve"> Agenda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C8DE"/>
          </w:tcPr>
          <w:p w14:paraId="7F546DAD" w14:textId="77777777" w:rsidR="000E00FF" w:rsidRPr="00E73191" w:rsidRDefault="000E00FF" w:rsidP="00CF78EB">
            <w:pPr>
              <w:ind w:left="43"/>
              <w:rPr>
                <w:rFonts w:cs="Arial"/>
                <w:sz w:val="22"/>
                <w:szCs w:val="22"/>
              </w:rPr>
            </w:pPr>
            <w:r w:rsidRPr="00E73191">
              <w:rPr>
                <w:rFonts w:cs="Arial"/>
                <w:b/>
                <w:sz w:val="22"/>
                <w:szCs w:val="22"/>
              </w:rPr>
              <w:t xml:space="preserve">Notes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C8DE"/>
          </w:tcPr>
          <w:p w14:paraId="6500762A" w14:textId="77777777" w:rsidR="000E00FF" w:rsidRPr="00E73191" w:rsidRDefault="000E00FF" w:rsidP="00CF78EB">
            <w:pPr>
              <w:ind w:left="43"/>
              <w:rPr>
                <w:rFonts w:cs="Arial"/>
                <w:sz w:val="22"/>
                <w:szCs w:val="22"/>
              </w:rPr>
            </w:pPr>
            <w:r w:rsidRPr="00E73191">
              <w:rPr>
                <w:rFonts w:cs="Arial"/>
                <w:b/>
                <w:sz w:val="22"/>
                <w:szCs w:val="22"/>
              </w:rPr>
              <w:t xml:space="preserve">Next steps </w:t>
            </w:r>
          </w:p>
        </w:tc>
      </w:tr>
      <w:tr w:rsidR="000E00FF" w:rsidRPr="00E73191" w14:paraId="44EF3473" w14:textId="77777777" w:rsidTr="00CF78EB">
        <w:trPr>
          <w:trHeight w:val="109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9521" w14:textId="2B341087" w:rsidR="000E00FF" w:rsidRPr="00E73191" w:rsidRDefault="00CF5183" w:rsidP="00CF78EB">
            <w:pPr>
              <w:ind w:left="43"/>
              <w:rPr>
                <w:rFonts w:cs="Arial"/>
                <w:sz w:val="22"/>
                <w:szCs w:val="22"/>
              </w:rPr>
            </w:pPr>
            <w:r w:rsidRPr="00E73191">
              <w:rPr>
                <w:rFonts w:cs="Arial"/>
                <w:b/>
                <w:sz w:val="22"/>
                <w:szCs w:val="22"/>
              </w:rPr>
              <w:t>Measures definitions review, from Smartsheet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0C22" w14:textId="2A0D05CF" w:rsidR="000E00FF" w:rsidRPr="00E73191" w:rsidRDefault="00CF5183" w:rsidP="00CF5183">
            <w:pPr>
              <w:ind w:left="43"/>
              <w:rPr>
                <w:rFonts w:cs="Arial"/>
                <w:sz w:val="22"/>
                <w:szCs w:val="22"/>
              </w:rPr>
            </w:pPr>
            <w:r w:rsidRPr="00E73191">
              <w:rPr>
                <w:rFonts w:cs="Arial"/>
                <w:sz w:val="22"/>
                <w:szCs w:val="22"/>
              </w:rPr>
              <w:t>Tami led group through data definitions and the group provided the following feedback/recommendations:</w:t>
            </w:r>
          </w:p>
          <w:p w14:paraId="6D07F989" w14:textId="4CB43C69" w:rsidR="006B2877" w:rsidRPr="00E73191" w:rsidRDefault="006B2877" w:rsidP="006B287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E73191">
              <w:rPr>
                <w:rFonts w:cs="Arial"/>
                <w:sz w:val="22"/>
                <w:szCs w:val="22"/>
              </w:rPr>
              <w:t>Medication measures, change language to say: “number of patients who have an active prescription for</w:t>
            </w:r>
            <w:r w:rsidR="009736E1" w:rsidRPr="00E73191">
              <w:rPr>
                <w:rFonts w:cs="Arial"/>
                <w:sz w:val="22"/>
                <w:szCs w:val="22"/>
              </w:rPr>
              <w:t xml:space="preserve"> xxx”</w:t>
            </w:r>
          </w:p>
          <w:p w14:paraId="415F2843" w14:textId="2A8C636B" w:rsidR="009736E1" w:rsidRPr="00E73191" w:rsidRDefault="00A60F45" w:rsidP="006B287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E73191">
              <w:rPr>
                <w:rFonts w:cs="Arial"/>
                <w:sz w:val="22"/>
                <w:szCs w:val="22"/>
              </w:rPr>
              <w:t>Removed mention of age for measures 3-5</w:t>
            </w:r>
          </w:p>
          <w:p w14:paraId="25585143" w14:textId="030B0587" w:rsidR="00A60F45" w:rsidRPr="00E73191" w:rsidRDefault="004063DD" w:rsidP="006B287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E73191">
              <w:rPr>
                <w:rFonts w:cs="Arial"/>
                <w:sz w:val="22"/>
                <w:szCs w:val="22"/>
              </w:rPr>
              <w:t>Changed language of GLP-1 to “GLP</w:t>
            </w:r>
            <w:r w:rsidR="00A72370" w:rsidRPr="00E73191">
              <w:rPr>
                <w:rFonts w:cs="Arial"/>
                <w:sz w:val="22"/>
                <w:szCs w:val="22"/>
              </w:rPr>
              <w:t>-1</w:t>
            </w:r>
            <w:r w:rsidRPr="00E73191">
              <w:rPr>
                <w:rFonts w:cs="Arial"/>
                <w:sz w:val="22"/>
                <w:szCs w:val="22"/>
              </w:rPr>
              <w:t xml:space="preserve"> receptor agonist”</w:t>
            </w:r>
          </w:p>
          <w:p w14:paraId="1B00EEBF" w14:textId="55C5EF37" w:rsidR="005E443E" w:rsidRPr="00E73191" w:rsidRDefault="005E443E" w:rsidP="006B287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E73191">
              <w:rPr>
                <w:rFonts w:cs="Arial"/>
                <w:sz w:val="22"/>
                <w:szCs w:val="22"/>
              </w:rPr>
              <w:t>Changed BMI to BMI Z Score</w:t>
            </w:r>
          </w:p>
          <w:p w14:paraId="3AAD86A8" w14:textId="77C2A505" w:rsidR="009A0EAF" w:rsidRDefault="009A0EAF" w:rsidP="006B287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E73191">
              <w:rPr>
                <w:rFonts w:cs="Arial"/>
                <w:sz w:val="22"/>
                <w:szCs w:val="22"/>
              </w:rPr>
              <w:t xml:space="preserve">Discussed potentially separating </w:t>
            </w:r>
            <w:r w:rsidR="00906C50" w:rsidRPr="00E73191">
              <w:rPr>
                <w:rFonts w:cs="Arial"/>
                <w:sz w:val="22"/>
                <w:szCs w:val="22"/>
              </w:rPr>
              <w:t>systolic</w:t>
            </w:r>
            <w:r w:rsidRPr="00E73191">
              <w:rPr>
                <w:rFonts w:cs="Arial"/>
                <w:sz w:val="22"/>
                <w:szCs w:val="22"/>
              </w:rPr>
              <w:t xml:space="preserve"> and diastolic </w:t>
            </w:r>
            <w:r w:rsidR="00906C50" w:rsidRPr="00E73191">
              <w:rPr>
                <w:rFonts w:cs="Arial"/>
                <w:sz w:val="22"/>
                <w:szCs w:val="22"/>
              </w:rPr>
              <w:t xml:space="preserve">thresholds, to be inclusive </w:t>
            </w:r>
            <w:r w:rsidR="00F13AF8" w:rsidRPr="00E73191">
              <w:rPr>
                <w:rFonts w:cs="Arial"/>
                <w:sz w:val="22"/>
                <w:szCs w:val="22"/>
              </w:rPr>
              <w:t>of people</w:t>
            </w:r>
            <w:r w:rsidR="00906C50" w:rsidRPr="00E73191">
              <w:rPr>
                <w:rFonts w:cs="Arial"/>
                <w:sz w:val="22"/>
                <w:szCs w:val="22"/>
              </w:rPr>
              <w:t xml:space="preserve"> with one or the other or both elevated.</w:t>
            </w:r>
          </w:p>
          <w:p w14:paraId="36C141C1" w14:textId="15736380" w:rsidR="000E00FF" w:rsidRPr="00175F6E" w:rsidRDefault="002B3B72" w:rsidP="00175F6E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Discussion of baseline time</w:t>
            </w:r>
            <w:r w:rsidR="0035677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length: there was agreement that we should be reporting data</w:t>
            </w:r>
            <w:r w:rsidR="0035677F">
              <w:rPr>
                <w:rFonts w:cs="Arial"/>
                <w:sz w:val="22"/>
                <w:szCs w:val="22"/>
              </w:rPr>
              <w:t>, for monthly reports, beginning with period beginning October 1, 2023 so that we have a full 12 months of baseline.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54F1" w14:textId="1A6030CD" w:rsidR="002B3B72" w:rsidRPr="00E73191" w:rsidRDefault="000E00FF" w:rsidP="002B3B72">
            <w:pPr>
              <w:ind w:left="43"/>
              <w:rPr>
                <w:rFonts w:cs="Arial"/>
                <w:b/>
                <w:bCs/>
                <w:sz w:val="22"/>
                <w:szCs w:val="22"/>
              </w:rPr>
            </w:pPr>
            <w:r w:rsidRPr="00E73191">
              <w:rPr>
                <w:rFonts w:cs="Arial"/>
                <w:sz w:val="22"/>
                <w:szCs w:val="22"/>
              </w:rPr>
              <w:t xml:space="preserve"> </w:t>
            </w:r>
          </w:p>
          <w:p w14:paraId="07F108E7" w14:textId="20CD5BDF" w:rsidR="000E00FF" w:rsidRPr="00E73191" w:rsidRDefault="000E00FF" w:rsidP="00CF78EB">
            <w:pPr>
              <w:ind w:left="43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0E00FF" w:rsidRPr="00E73191" w14:paraId="0814D64A" w14:textId="77777777" w:rsidTr="00CF78EB">
        <w:trPr>
          <w:trHeight w:val="138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F1E7" w14:textId="6EACC21C" w:rsidR="000E00FF" w:rsidRPr="006D076A" w:rsidRDefault="00ED5799" w:rsidP="00CF78EB">
            <w:pPr>
              <w:ind w:left="43"/>
              <w:rPr>
                <w:rFonts w:cs="Arial"/>
                <w:sz w:val="22"/>
                <w:szCs w:val="22"/>
              </w:rPr>
            </w:pPr>
            <w:r w:rsidRPr="006D076A">
              <w:rPr>
                <w:rFonts w:cs="Arial"/>
                <w:b/>
                <w:sz w:val="22"/>
                <w:szCs w:val="22"/>
              </w:rPr>
              <w:t>Questions and discussions</w:t>
            </w:r>
            <w:r w:rsidR="000E00FF" w:rsidRPr="006D076A">
              <w:rPr>
                <w:rFonts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03AF" w14:textId="041C4697" w:rsidR="000E00FF" w:rsidRPr="006D076A" w:rsidRDefault="000E00FF" w:rsidP="00CF78EB">
            <w:pPr>
              <w:ind w:left="43"/>
              <w:rPr>
                <w:rFonts w:eastAsia="Segoe UI Symbol" w:cs="Arial"/>
                <w:sz w:val="22"/>
                <w:szCs w:val="22"/>
              </w:rPr>
            </w:pPr>
            <w:r w:rsidRPr="006D076A">
              <w:rPr>
                <w:rFonts w:eastAsia="Segoe UI Symbol" w:cs="Arial"/>
                <w:sz w:val="22"/>
                <w:szCs w:val="22"/>
              </w:rPr>
              <w:t xml:space="preserve">• </w:t>
            </w:r>
            <w:r w:rsidR="000C7844" w:rsidRPr="006D076A">
              <w:rPr>
                <w:rFonts w:eastAsia="Segoe UI Symbol" w:cs="Arial"/>
                <w:sz w:val="22"/>
                <w:szCs w:val="22"/>
              </w:rPr>
              <w:t>Timeline for reporting measures 1-5</w:t>
            </w:r>
          </w:p>
          <w:p w14:paraId="3A98A13D" w14:textId="020256F1" w:rsidR="000C7844" w:rsidRPr="006D076A" w:rsidRDefault="000C7844" w:rsidP="00CF78EB">
            <w:pPr>
              <w:ind w:left="43"/>
              <w:rPr>
                <w:rFonts w:eastAsia="Segoe UI Symbol" w:cs="Arial"/>
                <w:sz w:val="22"/>
                <w:szCs w:val="22"/>
              </w:rPr>
            </w:pPr>
            <w:r w:rsidRPr="006D076A">
              <w:rPr>
                <w:rFonts w:eastAsia="Segoe UI Symbol" w:cs="Arial"/>
                <w:sz w:val="22"/>
                <w:szCs w:val="22"/>
              </w:rPr>
              <w:t>• Timeline for reporting measures 6-8</w:t>
            </w:r>
          </w:p>
          <w:p w14:paraId="1D827516" w14:textId="0AB96750" w:rsidR="00C577C0" w:rsidRDefault="00C577C0" w:rsidP="00CF78EB">
            <w:pPr>
              <w:ind w:left="43"/>
              <w:rPr>
                <w:rFonts w:eastAsia="Segoe UI Symbol"/>
                <w:sz w:val="22"/>
                <w:szCs w:val="22"/>
              </w:rPr>
            </w:pPr>
            <w:r w:rsidRPr="006D076A">
              <w:rPr>
                <w:rFonts w:eastAsia="Segoe UI Symbol"/>
                <w:sz w:val="22"/>
                <w:szCs w:val="22"/>
              </w:rPr>
              <w:t xml:space="preserve">• Discussion of data mapping vs. data reporting in Smartsheet. Clinics are </w:t>
            </w:r>
            <w:r w:rsidR="00E15F1B" w:rsidRPr="006D076A">
              <w:rPr>
                <w:rFonts w:eastAsia="Segoe UI Symbol"/>
                <w:sz w:val="22"/>
                <w:szCs w:val="22"/>
              </w:rPr>
              <w:t xml:space="preserve">welcome to map T2D data, if there is capacity at your clinic. Please reference the T2D data specification, found on the </w:t>
            </w:r>
            <w:hyperlink r:id="rId6" w:history="1">
              <w:r w:rsidR="00E15F1B" w:rsidRPr="006D076A">
                <w:rPr>
                  <w:rStyle w:val="Hyperlink"/>
                  <w:rFonts w:eastAsia="Segoe UI Symbol"/>
                  <w:sz w:val="22"/>
                  <w:szCs w:val="22"/>
                </w:rPr>
                <w:t>T1DX-QI</w:t>
              </w:r>
              <w:r w:rsidR="004E6176" w:rsidRPr="006D076A">
                <w:rPr>
                  <w:rStyle w:val="Hyperlink"/>
                  <w:rFonts w:eastAsia="Segoe UI Symbol"/>
                  <w:sz w:val="22"/>
                  <w:szCs w:val="22"/>
                </w:rPr>
                <w:t xml:space="preserve"> website</w:t>
              </w:r>
            </w:hyperlink>
            <w:r w:rsidR="004E6176" w:rsidRPr="006D076A">
              <w:rPr>
                <w:rFonts w:eastAsia="Segoe UI Symbol"/>
                <w:sz w:val="22"/>
                <w:szCs w:val="22"/>
              </w:rPr>
              <w:t xml:space="preserve"> and on </w:t>
            </w:r>
            <w:hyperlink r:id="rId7" w:anchor="gid=0" w:history="1">
              <w:r w:rsidR="004E6176" w:rsidRPr="006D076A">
                <w:rPr>
                  <w:rStyle w:val="Hyperlink"/>
                  <w:rFonts w:eastAsia="Segoe UI Symbol"/>
                  <w:sz w:val="22"/>
                  <w:szCs w:val="22"/>
                </w:rPr>
                <w:t>Google spreadsheet</w:t>
              </w:r>
            </w:hyperlink>
            <w:r w:rsidR="004E6176" w:rsidRPr="006D076A">
              <w:rPr>
                <w:rFonts w:eastAsia="Segoe UI Symbol"/>
                <w:sz w:val="22"/>
                <w:szCs w:val="22"/>
              </w:rPr>
              <w:t>.</w:t>
            </w:r>
          </w:p>
          <w:p w14:paraId="684A27B7" w14:textId="3864E0BC" w:rsidR="00047C05" w:rsidRPr="006D076A" w:rsidRDefault="00047C05" w:rsidP="00CF78EB">
            <w:pPr>
              <w:ind w:left="43"/>
              <w:rPr>
                <w:rFonts w:eastAsia="Segoe UI Symbol" w:cs="Arial"/>
                <w:sz w:val="22"/>
                <w:szCs w:val="22"/>
              </w:rPr>
            </w:pPr>
            <w:r w:rsidRPr="006D076A">
              <w:rPr>
                <w:rFonts w:eastAsia="Segoe UI Symbol"/>
                <w:sz w:val="22"/>
                <w:szCs w:val="22"/>
              </w:rPr>
              <w:t xml:space="preserve">• </w:t>
            </w:r>
            <w:r>
              <w:rPr>
                <w:rFonts w:eastAsia="Segoe UI Symbol" w:cs="Arial"/>
                <w:sz w:val="22"/>
                <w:szCs w:val="22"/>
              </w:rPr>
              <w:t>Discussion of how to report BMI Z scores and blood pressure. Challenges with data. Feedback was that SAS (raw data) might be better to share than trying to create numerators and denominators for Smartsheet.</w:t>
            </w:r>
          </w:p>
          <w:p w14:paraId="57F128EA" w14:textId="77777777" w:rsidR="000E00FF" w:rsidRPr="006D076A" w:rsidRDefault="000E00FF" w:rsidP="00CF78EB">
            <w:pPr>
              <w:ind w:left="43"/>
              <w:rPr>
                <w:rFonts w:cs="Arial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8785" w14:textId="5BD57954" w:rsidR="000E00FF" w:rsidRPr="00E73191" w:rsidRDefault="000E00FF" w:rsidP="00CF78EB">
            <w:pPr>
              <w:ind w:left="43"/>
              <w:rPr>
                <w:rFonts w:cs="Arial"/>
                <w:sz w:val="22"/>
                <w:szCs w:val="22"/>
              </w:rPr>
            </w:pPr>
            <w:r w:rsidRPr="00E73191">
              <w:rPr>
                <w:rFonts w:cs="Arial"/>
                <w:sz w:val="22"/>
                <w:szCs w:val="22"/>
              </w:rPr>
              <w:t xml:space="preserve"> </w:t>
            </w:r>
            <w:r w:rsidRPr="00E73191">
              <w:rPr>
                <w:rFonts w:eastAsia="Segoe UI Symbol" w:cs="Arial"/>
                <w:sz w:val="22"/>
                <w:szCs w:val="22"/>
              </w:rPr>
              <w:t xml:space="preserve">• </w:t>
            </w:r>
            <w:r w:rsidR="00D95DB1">
              <w:rPr>
                <w:rFonts w:cs="Arial"/>
                <w:sz w:val="22"/>
                <w:szCs w:val="22"/>
              </w:rPr>
              <w:t>R</w:t>
            </w:r>
            <w:r w:rsidR="00E73191" w:rsidRPr="00E73191">
              <w:rPr>
                <w:rFonts w:cs="Arial"/>
                <w:sz w:val="22"/>
                <w:szCs w:val="22"/>
              </w:rPr>
              <w:t>eport measures 1-5 by November 30</w:t>
            </w:r>
          </w:p>
          <w:p w14:paraId="6D9F9ED8" w14:textId="34408FE0" w:rsidR="00E73191" w:rsidRDefault="00E73191" w:rsidP="00CF78EB">
            <w:pPr>
              <w:ind w:left="43"/>
              <w:rPr>
                <w:rFonts w:eastAsia="Segoe UI Symbol" w:cs="Arial"/>
                <w:sz w:val="22"/>
                <w:szCs w:val="22"/>
              </w:rPr>
            </w:pPr>
            <w:r w:rsidRPr="00E73191">
              <w:rPr>
                <w:rFonts w:eastAsia="Segoe UI Symbol" w:cs="Arial"/>
                <w:sz w:val="22"/>
                <w:szCs w:val="22"/>
              </w:rPr>
              <w:t>•</w:t>
            </w:r>
            <w:r w:rsidR="00D95DB1">
              <w:rPr>
                <w:rFonts w:eastAsia="Segoe UI Symbol" w:cs="Arial"/>
                <w:sz w:val="22"/>
                <w:szCs w:val="22"/>
              </w:rPr>
              <w:t>R</w:t>
            </w:r>
            <w:r>
              <w:rPr>
                <w:rFonts w:eastAsia="Segoe UI Symbol" w:cs="Arial"/>
                <w:sz w:val="22"/>
                <w:szCs w:val="22"/>
              </w:rPr>
              <w:t xml:space="preserve">eport measures 6-8 by </w:t>
            </w:r>
            <w:r w:rsidR="00196F42">
              <w:rPr>
                <w:rFonts w:eastAsia="Segoe UI Symbol" w:cs="Arial"/>
                <w:sz w:val="22"/>
                <w:szCs w:val="22"/>
              </w:rPr>
              <w:t>2/28/25</w:t>
            </w:r>
          </w:p>
          <w:p w14:paraId="0246EF65" w14:textId="77777777" w:rsidR="00047C05" w:rsidRDefault="00047C05" w:rsidP="00CF78EB">
            <w:pPr>
              <w:ind w:left="43"/>
              <w:rPr>
                <w:rFonts w:cs="Arial"/>
                <w:sz w:val="22"/>
                <w:szCs w:val="22"/>
              </w:rPr>
            </w:pPr>
          </w:p>
          <w:p w14:paraId="59BB78C4" w14:textId="361CFA5A" w:rsidR="00047C05" w:rsidRPr="00E73191" w:rsidRDefault="00047C05" w:rsidP="00CF78EB">
            <w:pPr>
              <w:ind w:left="43"/>
              <w:rPr>
                <w:rFonts w:cs="Arial"/>
                <w:sz w:val="22"/>
                <w:szCs w:val="22"/>
              </w:rPr>
            </w:pPr>
            <w:r w:rsidRPr="006D076A">
              <w:rPr>
                <w:rFonts w:eastAsia="Segoe UI Symbol"/>
                <w:sz w:val="22"/>
                <w:szCs w:val="22"/>
              </w:rPr>
              <w:t>•</w:t>
            </w:r>
            <w:r>
              <w:rPr>
                <w:rFonts w:eastAsia="Segoe UI Symbol"/>
                <w:sz w:val="22"/>
                <w:szCs w:val="22"/>
              </w:rPr>
              <w:t xml:space="preserve">We </w:t>
            </w:r>
            <w:r w:rsidR="00B33395">
              <w:rPr>
                <w:rFonts w:eastAsia="Segoe UI Symbol"/>
                <w:sz w:val="22"/>
                <w:szCs w:val="22"/>
              </w:rPr>
              <w:t>will</w:t>
            </w:r>
            <w:r>
              <w:rPr>
                <w:rFonts w:eastAsia="Segoe UI Symbol"/>
                <w:sz w:val="22"/>
                <w:szCs w:val="22"/>
              </w:rPr>
              <w:t xml:space="preserve"> set up a small, </w:t>
            </w:r>
            <w:r w:rsidR="00B157DD">
              <w:rPr>
                <w:rFonts w:eastAsia="Segoe UI Symbol"/>
                <w:sz w:val="22"/>
                <w:szCs w:val="22"/>
              </w:rPr>
              <w:t xml:space="preserve">short term, time bound working group to discuss </w:t>
            </w:r>
            <w:r w:rsidR="00B33395">
              <w:rPr>
                <w:rFonts w:eastAsia="Segoe UI Symbol"/>
                <w:sz w:val="22"/>
                <w:szCs w:val="22"/>
              </w:rPr>
              <w:t>solutions for</w:t>
            </w:r>
            <w:r w:rsidR="00B157DD">
              <w:rPr>
                <w:rFonts w:eastAsia="Segoe UI Symbol"/>
                <w:sz w:val="22"/>
                <w:szCs w:val="22"/>
              </w:rPr>
              <w:t xml:space="preserve"> making</w:t>
            </w:r>
            <w:r w:rsidR="005A6E5B">
              <w:rPr>
                <w:rFonts w:eastAsia="Segoe UI Symbol"/>
                <w:sz w:val="22"/>
                <w:szCs w:val="22"/>
              </w:rPr>
              <w:t xml:space="preserve"> effective</w:t>
            </w:r>
            <w:r w:rsidR="00B157DD">
              <w:rPr>
                <w:rFonts w:eastAsia="Segoe UI Symbol"/>
                <w:sz w:val="22"/>
                <w:szCs w:val="22"/>
              </w:rPr>
              <w:t xml:space="preserve"> BMI and B/P </w:t>
            </w:r>
            <w:r w:rsidR="005A6E5B">
              <w:rPr>
                <w:rFonts w:eastAsia="Segoe UI Symbol"/>
                <w:sz w:val="22"/>
                <w:szCs w:val="22"/>
              </w:rPr>
              <w:t xml:space="preserve">reporting </w:t>
            </w:r>
            <w:r w:rsidR="00B157DD">
              <w:rPr>
                <w:rFonts w:eastAsia="Segoe UI Symbol"/>
                <w:sz w:val="22"/>
                <w:szCs w:val="22"/>
              </w:rPr>
              <w:t xml:space="preserve">measures. Mark Clements is joining. </w:t>
            </w:r>
            <w:r w:rsidR="005A6E5B">
              <w:rPr>
                <w:rFonts w:eastAsia="Segoe UI Symbol"/>
                <w:sz w:val="22"/>
                <w:szCs w:val="22"/>
              </w:rPr>
              <w:t>L</w:t>
            </w:r>
            <w:r w:rsidR="00B157DD">
              <w:rPr>
                <w:rFonts w:eastAsia="Segoe UI Symbol"/>
                <w:sz w:val="22"/>
                <w:szCs w:val="22"/>
              </w:rPr>
              <w:t xml:space="preserve">et </w:t>
            </w:r>
            <w:hyperlink r:id="rId8" w:history="1">
              <w:r w:rsidR="00B157DD" w:rsidRPr="00B157DD">
                <w:rPr>
                  <w:rStyle w:val="Hyperlink"/>
                  <w:rFonts w:eastAsia="Segoe UI Symbol"/>
                  <w:sz w:val="22"/>
                  <w:szCs w:val="22"/>
                </w:rPr>
                <w:t xml:space="preserve">Nicole </w:t>
              </w:r>
              <w:proofErr w:type="gramStart"/>
              <w:r w:rsidR="00B157DD" w:rsidRPr="00B157DD">
                <w:rPr>
                  <w:rStyle w:val="Hyperlink"/>
                  <w:rFonts w:eastAsia="Segoe UI Symbol"/>
                  <w:sz w:val="22"/>
                  <w:szCs w:val="22"/>
                </w:rPr>
                <w:t>know</w:t>
              </w:r>
              <w:proofErr w:type="gramEnd"/>
            </w:hyperlink>
            <w:r w:rsidR="00B157DD">
              <w:rPr>
                <w:rFonts w:eastAsia="Segoe UI Symbol"/>
                <w:sz w:val="22"/>
                <w:szCs w:val="22"/>
              </w:rPr>
              <w:t xml:space="preserve"> if you would like to join.</w:t>
            </w:r>
          </w:p>
        </w:tc>
      </w:tr>
      <w:tr w:rsidR="000E00FF" w:rsidRPr="00E73191" w14:paraId="0440A74F" w14:textId="77777777" w:rsidTr="00CF78EB">
        <w:trPr>
          <w:trHeight w:val="83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CD00" w14:textId="45E93E5C" w:rsidR="000E00FF" w:rsidRPr="00E73191" w:rsidRDefault="000E00FF" w:rsidP="00CF78EB">
            <w:pPr>
              <w:ind w:left="43"/>
              <w:rPr>
                <w:rFonts w:cs="Arial"/>
                <w:sz w:val="22"/>
                <w:szCs w:val="22"/>
              </w:rPr>
            </w:pPr>
            <w:r w:rsidRPr="00E73191">
              <w:rPr>
                <w:rFonts w:cs="Arial"/>
                <w:b/>
                <w:sz w:val="22"/>
                <w:szCs w:val="22"/>
              </w:rPr>
              <w:t xml:space="preserve">Next </w:t>
            </w:r>
            <w:r w:rsidR="00282FA6">
              <w:rPr>
                <w:rFonts w:cs="Arial"/>
                <w:b/>
                <w:sz w:val="22"/>
                <w:szCs w:val="22"/>
              </w:rPr>
              <w:t>Meeting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AFB3" w14:textId="1D3A1D81" w:rsidR="000E00FF" w:rsidRPr="00E73191" w:rsidRDefault="00F13AF8" w:rsidP="00CF78EB">
            <w:pPr>
              <w:ind w:left="204"/>
              <w:rPr>
                <w:rFonts w:cs="Arial"/>
                <w:sz w:val="22"/>
                <w:szCs w:val="22"/>
              </w:rPr>
            </w:pPr>
            <w:r w:rsidRPr="00F13AF8">
              <w:rPr>
                <w:rFonts w:cs="Arial"/>
                <w:sz w:val="22"/>
                <w:szCs w:val="22"/>
              </w:rPr>
              <w:t>Thursday, October 10, 2024 from 2:00</w:t>
            </w:r>
            <w:r w:rsidRPr="00F13AF8">
              <w:rPr>
                <w:rFonts w:ascii="Arial" w:hAnsi="Arial" w:cs="Arial"/>
                <w:sz w:val="22"/>
                <w:szCs w:val="22"/>
              </w:rPr>
              <w:t> </w:t>
            </w:r>
            <w:r w:rsidRPr="00F13AF8">
              <w:rPr>
                <w:rFonts w:cs="Arial"/>
                <w:sz w:val="22"/>
                <w:szCs w:val="22"/>
              </w:rPr>
              <w:t>PM to 3:00</w:t>
            </w:r>
            <w:r w:rsidRPr="00F13AF8">
              <w:rPr>
                <w:rFonts w:ascii="Arial" w:hAnsi="Arial" w:cs="Arial"/>
                <w:sz w:val="22"/>
                <w:szCs w:val="22"/>
              </w:rPr>
              <w:t> </w:t>
            </w:r>
            <w:r w:rsidRPr="00F13AF8">
              <w:rPr>
                <w:rFonts w:cs="Arial"/>
                <w:sz w:val="22"/>
                <w:szCs w:val="22"/>
              </w:rPr>
              <w:t>PM</w:t>
            </w:r>
            <w:r>
              <w:rPr>
                <w:rFonts w:cs="Arial"/>
                <w:sz w:val="22"/>
                <w:szCs w:val="22"/>
              </w:rPr>
              <w:t xml:space="preserve"> (EST)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12AF" w14:textId="77777777" w:rsidR="000E00FF" w:rsidRPr="00E73191" w:rsidRDefault="000E00FF" w:rsidP="00CF78EB">
            <w:pPr>
              <w:ind w:left="43" w:right="286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53D7C8E6" w14:textId="77777777" w:rsidR="009D63CB" w:rsidRPr="00E73191" w:rsidRDefault="009D63CB" w:rsidP="00175F6E">
      <w:pPr>
        <w:rPr>
          <w:rFonts w:cs="Arial"/>
          <w:sz w:val="22"/>
          <w:szCs w:val="22"/>
        </w:rPr>
      </w:pPr>
    </w:p>
    <w:sectPr w:rsidR="009D63CB" w:rsidRPr="00E73191" w:rsidSect="00293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5646"/>
    <w:multiLevelType w:val="hybridMultilevel"/>
    <w:tmpl w:val="1A7094E4"/>
    <w:lvl w:ilvl="0" w:tplc="86387676">
      <w:start w:val="1"/>
      <w:numFmt w:val="bullet"/>
      <w:lvlText w:val="•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10372E">
      <w:start w:val="1"/>
      <w:numFmt w:val="bullet"/>
      <w:lvlText w:val="o"/>
      <w:lvlJc w:val="left"/>
      <w:pPr>
        <w:ind w:left="1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B212C0">
      <w:start w:val="1"/>
      <w:numFmt w:val="bullet"/>
      <w:lvlText w:val="▪"/>
      <w:lvlJc w:val="left"/>
      <w:pPr>
        <w:ind w:left="18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E63640">
      <w:start w:val="1"/>
      <w:numFmt w:val="bullet"/>
      <w:lvlText w:val="•"/>
      <w:lvlJc w:val="left"/>
      <w:pPr>
        <w:ind w:left="2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B43CD0">
      <w:start w:val="1"/>
      <w:numFmt w:val="bullet"/>
      <w:lvlText w:val="o"/>
      <w:lvlJc w:val="left"/>
      <w:pPr>
        <w:ind w:left="3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6076A8">
      <w:start w:val="1"/>
      <w:numFmt w:val="bullet"/>
      <w:lvlText w:val="▪"/>
      <w:lvlJc w:val="left"/>
      <w:pPr>
        <w:ind w:left="40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0C7826">
      <w:start w:val="1"/>
      <w:numFmt w:val="bullet"/>
      <w:lvlText w:val="•"/>
      <w:lvlJc w:val="left"/>
      <w:pPr>
        <w:ind w:left="4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3464F6">
      <w:start w:val="1"/>
      <w:numFmt w:val="bullet"/>
      <w:lvlText w:val="o"/>
      <w:lvlJc w:val="left"/>
      <w:pPr>
        <w:ind w:left="5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FE9B10">
      <w:start w:val="1"/>
      <w:numFmt w:val="bullet"/>
      <w:lvlText w:val="▪"/>
      <w:lvlJc w:val="left"/>
      <w:pPr>
        <w:ind w:left="6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0431C3"/>
    <w:multiLevelType w:val="hybridMultilevel"/>
    <w:tmpl w:val="934A012C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467E1013"/>
    <w:multiLevelType w:val="hybridMultilevel"/>
    <w:tmpl w:val="BA82B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1100E"/>
    <w:multiLevelType w:val="hybridMultilevel"/>
    <w:tmpl w:val="2158A830"/>
    <w:lvl w:ilvl="0" w:tplc="C3146A92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28E826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4A1B6E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DCDB9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3E81CE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7AA61A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229308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E03C04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2E1E14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806109">
    <w:abstractNumId w:val="2"/>
  </w:num>
  <w:num w:numId="2" w16cid:durableId="1667056742">
    <w:abstractNumId w:val="3"/>
  </w:num>
  <w:num w:numId="3" w16cid:durableId="674922049">
    <w:abstractNumId w:val="0"/>
  </w:num>
  <w:num w:numId="4" w16cid:durableId="200752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2C"/>
    <w:rsid w:val="00011B1F"/>
    <w:rsid w:val="00030A09"/>
    <w:rsid w:val="00047C05"/>
    <w:rsid w:val="00074709"/>
    <w:rsid w:val="000C7844"/>
    <w:rsid w:val="000E00FF"/>
    <w:rsid w:val="00112FD4"/>
    <w:rsid w:val="00175F6E"/>
    <w:rsid w:val="00180222"/>
    <w:rsid w:val="00196F42"/>
    <w:rsid w:val="001E1C4F"/>
    <w:rsid w:val="001E2BE6"/>
    <w:rsid w:val="0024083E"/>
    <w:rsid w:val="00282FA6"/>
    <w:rsid w:val="0028396B"/>
    <w:rsid w:val="00292EAA"/>
    <w:rsid w:val="0029372C"/>
    <w:rsid w:val="002B3B72"/>
    <w:rsid w:val="00336F7E"/>
    <w:rsid w:val="0035677F"/>
    <w:rsid w:val="003B5D12"/>
    <w:rsid w:val="004063DD"/>
    <w:rsid w:val="004A1D52"/>
    <w:rsid w:val="004E6176"/>
    <w:rsid w:val="00527C61"/>
    <w:rsid w:val="0057345C"/>
    <w:rsid w:val="005A6E5B"/>
    <w:rsid w:val="005E443E"/>
    <w:rsid w:val="006B2877"/>
    <w:rsid w:val="006D076A"/>
    <w:rsid w:val="0074243E"/>
    <w:rsid w:val="007A64BE"/>
    <w:rsid w:val="007C7FDB"/>
    <w:rsid w:val="00817099"/>
    <w:rsid w:val="00825A60"/>
    <w:rsid w:val="008A7912"/>
    <w:rsid w:val="00906C50"/>
    <w:rsid w:val="009736E1"/>
    <w:rsid w:val="009A0EAF"/>
    <w:rsid w:val="009D63CB"/>
    <w:rsid w:val="009E3E60"/>
    <w:rsid w:val="009F0AB9"/>
    <w:rsid w:val="00A60F45"/>
    <w:rsid w:val="00A72370"/>
    <w:rsid w:val="00B073B9"/>
    <w:rsid w:val="00B157DD"/>
    <w:rsid w:val="00B33395"/>
    <w:rsid w:val="00C15297"/>
    <w:rsid w:val="00C577C0"/>
    <w:rsid w:val="00CC6D57"/>
    <w:rsid w:val="00CE51CE"/>
    <w:rsid w:val="00CF5183"/>
    <w:rsid w:val="00D23AF5"/>
    <w:rsid w:val="00D86DD4"/>
    <w:rsid w:val="00D95DB1"/>
    <w:rsid w:val="00DA2479"/>
    <w:rsid w:val="00DE61BF"/>
    <w:rsid w:val="00E15F1B"/>
    <w:rsid w:val="00E70525"/>
    <w:rsid w:val="00E73191"/>
    <w:rsid w:val="00E81971"/>
    <w:rsid w:val="00EC0C21"/>
    <w:rsid w:val="00ED5799"/>
    <w:rsid w:val="00EE3460"/>
    <w:rsid w:val="00F13AF8"/>
    <w:rsid w:val="22BB8A71"/>
    <w:rsid w:val="298C0B59"/>
    <w:rsid w:val="2E06A7C4"/>
    <w:rsid w:val="5269A503"/>
    <w:rsid w:val="542C1956"/>
    <w:rsid w:val="55ADB464"/>
    <w:rsid w:val="5776E5E6"/>
    <w:rsid w:val="7DAC105B"/>
    <w:rsid w:val="7EE4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2FC1F"/>
  <w15:chartTrackingRefBased/>
  <w15:docId w15:val="{613FD52D-5896-9D4A-AF5D-96164B85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72C"/>
  </w:style>
  <w:style w:type="paragraph" w:styleId="Heading1">
    <w:name w:val="heading 1"/>
    <w:basedOn w:val="Normal"/>
    <w:next w:val="Normal"/>
    <w:link w:val="Heading1Char"/>
    <w:uiPriority w:val="9"/>
    <w:qFormat/>
    <w:rsid w:val="00293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7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7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7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7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7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7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7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7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7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7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7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7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7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37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7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3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37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7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37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37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7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37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372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43E"/>
    <w:rPr>
      <w:color w:val="605E5C"/>
      <w:shd w:val="clear" w:color="auto" w:fill="E1DFDD"/>
    </w:rPr>
  </w:style>
  <w:style w:type="table" w:customStyle="1" w:styleId="TableGrid">
    <w:name w:val="TableGrid"/>
    <w:rsid w:val="000E00FF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I@t1dechang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vbsZanNsedPsC3Dewg3KcQcwmtW1ihQHlR7n29J3sAw/edit?gi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1dx-qi.t1dexchange.org/data-mapping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Rioles</dc:creator>
  <cp:keywords/>
  <dc:description/>
  <cp:lastModifiedBy>Ori Odugbesan</cp:lastModifiedBy>
  <cp:revision>2</cp:revision>
  <dcterms:created xsi:type="dcterms:W3CDTF">2024-09-16T13:30:00Z</dcterms:created>
  <dcterms:modified xsi:type="dcterms:W3CDTF">2024-09-16T13:30:00Z</dcterms:modified>
</cp:coreProperties>
</file>