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160"/>
        <w:rPr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2343150" cy="1562100"/>
            <wp:wrapTight wrapText="bothSides">
              <wp:wrapPolygon>
                <wp:start x="-389" y="0"/>
                <wp:lineTo x="-389" y="21340"/>
                <wp:lineTo x="21795" y="21340"/>
                <wp:lineTo x="21795" y="0"/>
                <wp:lineTo x="-389" y="0"/>
              </wp:wrapPolygon>
            </wp:wrapTight>
            <wp:docPr id="100001" name="" descr="A picture containing text, person, watch, wr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t xml:space="preserve">A continuous glucose monitor (CGM) is used to measure blood sugars throughout the day. A sensor is placed on the skin and sends blood sugar numbers to a smartphone or reader. A CGM can show you how your blood sugars are changing and can reduce the number of finger sticks. </w:t>
      </w:r>
      <w:r>
        <w:rPr>
          <w:rFonts w:ascii="Helvetica" w:eastAsia="Helvetica" w:hAnsi="Helvetica" w:cs="Helvetica"/>
          <w:b/>
          <w:bCs/>
          <w:sz w:val="28"/>
          <w:szCs w:val="28"/>
          <w:u w:val="single"/>
          <w:shd w:val="clear" w:color="auto" w:fill="FFFFFF"/>
        </w:rPr>
        <w:t>For people using insulin</w:t>
      </w: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t>, CGMs are covered by some insurance plans or can be bought for $75/month at a pharmacy outside of Grady.</w:t>
      </w: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br/>
      </w:r>
      <w:r>
        <w:rPr>
          <w:rFonts w:ascii="Helvetica" w:eastAsia="Helvetica" w:hAnsi="Helvetica" w:cs="Helvetica"/>
          <w:b/>
          <w:bCs/>
          <w:sz w:val="28"/>
          <w:szCs w:val="28"/>
          <w:shd w:val="clear" w:color="auto" w:fill="FFFFFF"/>
        </w:rPr>
        <w:br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Please circle your answers for the following questions. 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before="0"/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 xml:space="preserve">Are you currently using a CGM?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 xml:space="preserve"> </w:t>
      </w:r>
      <w:r>
        <w:rPr>
          <w:rFonts w:ascii="Helvetica" w:eastAsia="Helvetica" w:hAnsi="Helvetica" w:cs="Helvetica"/>
          <w:b/>
          <w:bCs/>
          <w:sz w:val="28"/>
          <w:szCs w:val="28"/>
        </w:rPr>
        <w:t>Yes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1"/>
        </w:numPr>
        <w:spacing w:after="160"/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>If yes, which one do you use?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 </w:t>
      </w:r>
    </w:p>
    <w:p>
      <w:pPr>
        <w:spacing w:before="0" w:after="160"/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Freestyle Libre 2 / Freestyle Libre 3 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Dexcom G6 / Dexcom G7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</w:t>
      </w:r>
    </w:p>
    <w:p>
      <w:pPr>
        <w:spacing w:before="0" w:after="160"/>
        <w:ind w:firstLine="72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>Other: ___________________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2"/>
        </w:numPr>
        <w:spacing w:before="0"/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>If no, are you interested in using a CGM?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Yes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2"/>
        </w:numPr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>Are you currently using insulin?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Yes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 xml:space="preserve"> </w:t>
      </w:r>
      <w:r>
        <w:rPr>
          <w:rFonts w:ascii="Helvetica" w:eastAsia="Helvetica" w:hAnsi="Helvetica" w:cs="Helvetica"/>
          <w:b/>
          <w:bCs/>
          <w:sz w:val="28"/>
          <w:szCs w:val="28"/>
        </w:rPr>
        <w:t>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2"/>
        </w:numPr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>Do you have health insurance coverage?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Yes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2"/>
        </w:numPr>
        <w:spacing w:after="0"/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 xml:space="preserve">If you do not have insurance or your insurance does not cover a CGM, 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br/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>a. Would you be willing to pay $75/month to buy it?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Yes</w:t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  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>b. If you do not have a compatible smartphone, you may have to buy a separate reader for a one-time fee (around $88). Are you willing to pay this?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</w:p>
    <w:p>
      <w:pPr>
        <w:spacing w:before="0" w:after="0"/>
        <w:ind w:left="720" w:firstLine="720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Yes 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sz w:val="28"/>
          <w:szCs w:val="28"/>
        </w:rPr>
        <w:t xml:space="preserve">         </w:t>
      </w:r>
      <w:r>
        <w:rPr>
          <w:rFonts w:ascii="Helvetica" w:eastAsia="Helvetica" w:hAnsi="Helvetica" w:cs="Helvetica"/>
          <w:b/>
          <w:bCs/>
          <w:sz w:val="28"/>
          <w:szCs w:val="28"/>
        </w:rPr>
        <w:t>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numPr>
          <w:ilvl w:val="0"/>
          <w:numId w:val="3"/>
        </w:numPr>
        <w:spacing w:before="0" w:after="160"/>
        <w:ind w:left="720" w:right="0" w:hanging="310"/>
        <w:jc w:val="left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 xml:space="preserve">Do you want your doctor to order a CGM for you today?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 xml:space="preserve">Yes </w:t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ab/>
      </w:r>
      <w:r>
        <w:rPr>
          <w:rFonts w:ascii="Helvetica" w:eastAsia="Helvetica" w:hAnsi="Helvetica" w:cs="Helvetica"/>
          <w:b/>
          <w:bCs/>
          <w:sz w:val="28"/>
          <w:szCs w:val="28"/>
        </w:rPr>
        <w:t>No</w:t>
      </w:r>
      <w:r>
        <w:rPr>
          <w:rFonts w:ascii="Helvetica" w:eastAsia="Helvetica" w:hAnsi="Helvetica" w:cs="Helvetica"/>
          <w:b/>
          <w:bCs/>
          <w:sz w:val="28"/>
          <w:szCs w:val="28"/>
        </w:rPr>
        <w:br/>
      </w:r>
    </w:p>
    <w:p>
      <w:pPr>
        <w:spacing w:before="0" w:after="160"/>
      </w:pPr>
      <w:r>
        <w:rPr>
          <w:strike w:val="0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558800</wp:posOffset>
            </wp:positionV>
            <wp:extent cx="171450" cy="16192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br/>
      </w:r>
      <w:r>
        <w:rPr>
          <w:b/>
          <w:bCs/>
        </w:rPr>
        <w:t>__________________________________________M.D. USE ONLY___________________________________________</w:t>
      </w:r>
      <w:r>
        <w:rPr>
          <w:b/>
          <w:bCs/>
        </w:rPr>
        <w:br/>
      </w:r>
      <w:r>
        <w:t xml:space="preserve">                                                                                                     </w:t>
      </w:r>
      <w:r>
        <w:br/>
      </w:r>
      <w:r>
        <w:t xml:space="preserve">                                                                                </w:t>
      </w:r>
      <w:r>
        <w:t>this screening tool has been reviewed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  <w:r>
        <w:t xml:space="preserve">Medicare CGM coverage: Submit through Parachute (patients must be on at least one insulin injection daily) </w:t>
      </w:r>
      <w:r>
        <w:br/>
      </w:r>
      <w:r>
        <w:t>Medicaid CGM coverage: Submit through Parachute (T2DM patients not covered with traditional Medicaid, but may be covered with managed Medcaid (ex: Peachstate, Amerigoup, Caresource))</w:t>
      </w:r>
      <w:r>
        <w:br/>
      </w:r>
      <w:r>
        <w:t xml:space="preserve">Please refer to CGM insurance coverage chart if needed </w:t>
      </w:r>
      <w: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>
      <w:type w:val="nextPage"/>
      <w:pgSz w:w="12240" w:h="15840"/>
      <w:pgMar w:top="360" w:right="720" w:bottom="36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