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B9B2" w14:textId="4D53D14E" w:rsidR="00B462B1" w:rsidRPr="00B462B1" w:rsidRDefault="00B462B1" w:rsidP="00B462B1">
      <w:pPr>
        <w:pStyle w:val="Heading1"/>
        <w:jc w:val="center"/>
        <w:rPr>
          <w:rFonts w:ascii="Aptos" w:hAnsi="Aptos" w:hint="eastAsia"/>
        </w:rPr>
      </w:pPr>
      <w:r>
        <w:rPr>
          <w:rFonts w:ascii="Aptos" w:hAnsi="Aptos"/>
          <w:noProof/>
        </w:rPr>
        <w:drawing>
          <wp:inline distT="0" distB="0" distL="0" distR="0" wp14:anchorId="6E2DA996" wp14:editId="0A3427EB">
            <wp:extent cx="2087880" cy="924830"/>
            <wp:effectExtent l="0" t="0" r="7620" b="8890"/>
            <wp:docPr id="2094587501" name="Picture 3">
              <a:extLst xmlns:a="http://schemas.openxmlformats.org/drawingml/2006/main">
                <a:ext uri="{FF2B5EF4-FFF2-40B4-BE49-F238E27FC236}">
                  <a16:creationId xmlns:a16="http://schemas.microsoft.com/office/drawing/2014/main" id="{F364B690-6218-40AA-8FD2-1A6539C0E4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3196" cy="927185"/>
                    </a:xfrm>
                    <a:prstGeom prst="rect">
                      <a:avLst/>
                    </a:prstGeom>
                    <a:noFill/>
                  </pic:spPr>
                </pic:pic>
              </a:graphicData>
            </a:graphic>
          </wp:inline>
        </w:drawing>
      </w:r>
    </w:p>
    <w:p w14:paraId="50894B36" w14:textId="5D6189CF" w:rsidR="00B462B1" w:rsidRPr="00B462B1" w:rsidRDefault="00B462B1" w:rsidP="00B462B1">
      <w:pPr>
        <w:pStyle w:val="Heading1"/>
        <w:jc w:val="center"/>
        <w:rPr>
          <w:rFonts w:ascii="Aptos" w:hAnsi="Aptos" w:hint="eastAsia"/>
          <w:sz w:val="36"/>
          <w:szCs w:val="36"/>
          <w:lang w:val="en"/>
        </w:rPr>
      </w:pPr>
      <w:r w:rsidRPr="00B462B1">
        <w:rPr>
          <w:rFonts w:ascii="Aptos" w:hAnsi="Aptos"/>
          <w:sz w:val="36"/>
          <w:szCs w:val="36"/>
          <w:lang w:val="en"/>
        </w:rPr>
        <w:t>T1D Exchange Fear of Hypoglycemia Screener</w:t>
      </w:r>
    </w:p>
    <w:p w14:paraId="47330BA7" w14:textId="0C52F0AB" w:rsidR="00B462B1" w:rsidRPr="00F84855" w:rsidRDefault="00C37715" w:rsidP="00B462B1">
      <w:pPr>
        <w:pStyle w:val="Heading1"/>
        <w:rPr>
          <w:rFonts w:ascii="Aptos" w:hAnsi="Aptos" w:hint="eastAsia"/>
          <w:lang w:val="en"/>
        </w:rPr>
      </w:pPr>
      <w:r w:rsidRPr="00F84855">
        <w:rPr>
          <w:rFonts w:ascii="Aptos" w:hAnsi="Aptos"/>
          <w:lang w:val="en"/>
        </w:rPr>
        <w:t>For Patient Use</w:t>
      </w:r>
    </w:p>
    <w:p w14:paraId="4B46EDD9" w14:textId="77777777" w:rsidR="00C37715" w:rsidRPr="00B462B1" w:rsidRDefault="00C37715" w:rsidP="00C37715">
      <w:pPr>
        <w:spacing w:after="80" w:line="240" w:lineRule="auto"/>
        <w:rPr>
          <w:rFonts w:ascii="Aptos" w:hAnsi="Aptos" w:cs="Arial"/>
          <w:b/>
          <w:bCs/>
        </w:rPr>
      </w:pPr>
      <w:r w:rsidRPr="00B462B1">
        <w:rPr>
          <w:rFonts w:ascii="Aptos" w:hAnsi="Aptos" w:cs="Arial"/>
          <w:lang w:val="en"/>
        </w:rPr>
        <w:t>Please rate how much you agree or disagree with the following items based on</w:t>
      </w:r>
      <w:r w:rsidRPr="00B462B1">
        <w:rPr>
          <w:rFonts w:ascii="Aptos" w:hAnsi="Aptos" w:cs="Arial"/>
          <w:b/>
          <w:bCs/>
          <w:lang w:val="en"/>
        </w:rPr>
        <w:t xml:space="preserve"> </w:t>
      </w:r>
      <w:r w:rsidRPr="00B462B1">
        <w:rPr>
          <w:rFonts w:ascii="Aptos" w:hAnsi="Aptos" w:cs="Arial"/>
          <w:b/>
          <w:bCs/>
        </w:rPr>
        <w:t>your feelings and experiences in the last 3 months</w:t>
      </w:r>
    </w:p>
    <w:p w14:paraId="7B1F6DDA" w14:textId="77777777" w:rsidR="00C37715" w:rsidRPr="00B462B1" w:rsidRDefault="00C37715" w:rsidP="00C37715">
      <w:pPr>
        <w:spacing w:after="80" w:line="240" w:lineRule="auto"/>
        <w:rPr>
          <w:rFonts w:ascii="Aptos" w:hAnsi="Aptos" w:cs="Arial"/>
          <w:b/>
          <w:bCs/>
        </w:rPr>
      </w:pPr>
    </w:p>
    <w:tbl>
      <w:tblPr>
        <w:tblStyle w:val="TableGrid"/>
        <w:tblW w:w="8211" w:type="dxa"/>
        <w:tblInd w:w="565" w:type="dxa"/>
        <w:tblLook w:val="0600" w:firstRow="0" w:lastRow="0" w:firstColumn="0" w:lastColumn="0" w:noHBand="1" w:noVBand="1"/>
      </w:tblPr>
      <w:tblGrid>
        <w:gridCol w:w="2304"/>
        <w:gridCol w:w="1495"/>
        <w:gridCol w:w="1316"/>
        <w:gridCol w:w="1080"/>
        <w:gridCol w:w="2016"/>
      </w:tblGrid>
      <w:tr w:rsidR="00C37715" w:rsidRPr="00B462B1" w14:paraId="3A8FDA97" w14:textId="77777777" w:rsidTr="001E672D">
        <w:trPr>
          <w:trHeight w:val="462"/>
        </w:trPr>
        <w:tc>
          <w:tcPr>
            <w:tcW w:w="2304" w:type="dxa"/>
            <w:vAlign w:val="center"/>
          </w:tcPr>
          <w:p w14:paraId="7FC64F8F" w14:textId="77777777" w:rsidR="00C37715" w:rsidRPr="00B462B1" w:rsidRDefault="00C37715" w:rsidP="001E672D">
            <w:pPr>
              <w:contextualSpacing/>
              <w:jc w:val="center"/>
              <w:rPr>
                <w:rFonts w:ascii="Aptos" w:hAnsi="Aptos" w:cs="Arial"/>
                <w:b/>
                <w:bCs/>
                <w:i/>
                <w:iCs/>
                <w:sz w:val="20"/>
                <w:szCs w:val="20"/>
              </w:rPr>
            </w:pPr>
            <w:r w:rsidRPr="00B462B1">
              <w:rPr>
                <w:rFonts w:ascii="Aptos" w:hAnsi="Aptos" w:cs="Arial"/>
                <w:b/>
                <w:bCs/>
                <w:i/>
                <w:iCs/>
                <w:sz w:val="20"/>
                <w:szCs w:val="20"/>
              </w:rPr>
              <w:t>Strongly Disagree</w:t>
            </w:r>
          </w:p>
        </w:tc>
        <w:tc>
          <w:tcPr>
            <w:tcW w:w="0" w:type="auto"/>
            <w:vAlign w:val="center"/>
          </w:tcPr>
          <w:p w14:paraId="75E71B74" w14:textId="77777777" w:rsidR="00C37715" w:rsidRPr="00B462B1" w:rsidRDefault="00C37715" w:rsidP="001E672D">
            <w:pPr>
              <w:contextualSpacing/>
              <w:jc w:val="center"/>
              <w:rPr>
                <w:rFonts w:ascii="Aptos" w:hAnsi="Aptos" w:cs="Arial"/>
                <w:b/>
                <w:bCs/>
                <w:i/>
                <w:iCs/>
                <w:sz w:val="20"/>
                <w:szCs w:val="20"/>
              </w:rPr>
            </w:pPr>
            <w:r w:rsidRPr="00B462B1">
              <w:rPr>
                <w:rFonts w:ascii="Aptos" w:hAnsi="Aptos" w:cs="Arial"/>
                <w:b/>
                <w:bCs/>
                <w:i/>
                <w:iCs/>
                <w:sz w:val="20"/>
                <w:szCs w:val="20"/>
              </w:rPr>
              <w:t>Disagree</w:t>
            </w:r>
          </w:p>
        </w:tc>
        <w:tc>
          <w:tcPr>
            <w:tcW w:w="0" w:type="auto"/>
            <w:vAlign w:val="center"/>
          </w:tcPr>
          <w:p w14:paraId="3E1530BE" w14:textId="77777777" w:rsidR="00C37715" w:rsidRPr="00B462B1" w:rsidRDefault="00C37715" w:rsidP="001E672D">
            <w:pPr>
              <w:contextualSpacing/>
              <w:jc w:val="center"/>
              <w:rPr>
                <w:rFonts w:ascii="Aptos" w:hAnsi="Aptos" w:cs="Arial"/>
                <w:b/>
                <w:bCs/>
                <w:i/>
                <w:iCs/>
                <w:sz w:val="20"/>
                <w:szCs w:val="20"/>
              </w:rPr>
            </w:pPr>
            <w:r w:rsidRPr="00B462B1">
              <w:rPr>
                <w:rFonts w:ascii="Aptos" w:hAnsi="Aptos" w:cs="Arial"/>
                <w:b/>
                <w:bCs/>
                <w:i/>
                <w:iCs/>
                <w:sz w:val="20"/>
                <w:szCs w:val="20"/>
              </w:rPr>
              <w:t>Neutral</w:t>
            </w:r>
          </w:p>
        </w:tc>
        <w:tc>
          <w:tcPr>
            <w:tcW w:w="0" w:type="auto"/>
            <w:vAlign w:val="center"/>
          </w:tcPr>
          <w:p w14:paraId="4DFBCFC0" w14:textId="77777777" w:rsidR="00C37715" w:rsidRPr="00B462B1" w:rsidRDefault="00C37715" w:rsidP="001E672D">
            <w:pPr>
              <w:contextualSpacing/>
              <w:jc w:val="center"/>
              <w:rPr>
                <w:rFonts w:ascii="Aptos" w:hAnsi="Aptos" w:cs="Arial"/>
                <w:b/>
                <w:bCs/>
                <w:i/>
                <w:iCs/>
                <w:sz w:val="20"/>
                <w:szCs w:val="20"/>
              </w:rPr>
            </w:pPr>
            <w:r w:rsidRPr="00B462B1">
              <w:rPr>
                <w:rFonts w:ascii="Aptos" w:hAnsi="Aptos" w:cs="Arial"/>
                <w:b/>
                <w:bCs/>
                <w:i/>
                <w:iCs/>
                <w:sz w:val="20"/>
                <w:szCs w:val="20"/>
              </w:rPr>
              <w:t>Agree</w:t>
            </w:r>
          </w:p>
        </w:tc>
        <w:tc>
          <w:tcPr>
            <w:tcW w:w="2016" w:type="dxa"/>
            <w:vAlign w:val="center"/>
          </w:tcPr>
          <w:p w14:paraId="505DD3B6" w14:textId="77777777" w:rsidR="00C37715" w:rsidRPr="00B462B1" w:rsidRDefault="00C37715" w:rsidP="001E672D">
            <w:pPr>
              <w:contextualSpacing/>
              <w:jc w:val="center"/>
              <w:rPr>
                <w:rFonts w:ascii="Aptos" w:hAnsi="Aptos" w:cs="Arial"/>
                <w:b/>
                <w:bCs/>
                <w:i/>
                <w:iCs/>
                <w:sz w:val="20"/>
                <w:szCs w:val="20"/>
              </w:rPr>
            </w:pPr>
            <w:r w:rsidRPr="00B462B1">
              <w:rPr>
                <w:rFonts w:ascii="Aptos" w:hAnsi="Aptos" w:cs="Arial"/>
                <w:b/>
                <w:bCs/>
                <w:i/>
                <w:iCs/>
                <w:sz w:val="20"/>
                <w:szCs w:val="20"/>
              </w:rPr>
              <w:t>Strongly Agree</w:t>
            </w:r>
          </w:p>
        </w:tc>
      </w:tr>
      <w:tr w:rsidR="00C37715" w:rsidRPr="00B462B1" w14:paraId="460A2EA4" w14:textId="77777777" w:rsidTr="001E672D">
        <w:trPr>
          <w:trHeight w:val="395"/>
        </w:trPr>
        <w:tc>
          <w:tcPr>
            <w:tcW w:w="2304" w:type="dxa"/>
            <w:vAlign w:val="center"/>
          </w:tcPr>
          <w:p w14:paraId="3BC194CB" w14:textId="77777777" w:rsidR="00C37715" w:rsidRPr="00B462B1" w:rsidRDefault="00C37715" w:rsidP="001E672D">
            <w:pPr>
              <w:jc w:val="center"/>
              <w:rPr>
                <w:rFonts w:ascii="Aptos" w:hAnsi="Aptos" w:cs="Arial"/>
                <w:i/>
                <w:iCs/>
                <w:sz w:val="20"/>
                <w:szCs w:val="20"/>
              </w:rPr>
            </w:pPr>
            <w:r w:rsidRPr="00B462B1">
              <w:rPr>
                <w:rFonts w:ascii="Aptos" w:hAnsi="Aptos" w:cs="Arial"/>
                <w:i/>
                <w:iCs/>
                <w:sz w:val="20"/>
                <w:szCs w:val="20"/>
              </w:rPr>
              <w:t>1</w:t>
            </w:r>
          </w:p>
        </w:tc>
        <w:tc>
          <w:tcPr>
            <w:tcW w:w="0" w:type="auto"/>
            <w:vAlign w:val="center"/>
          </w:tcPr>
          <w:p w14:paraId="0C760398" w14:textId="77777777" w:rsidR="00C37715" w:rsidRPr="00B462B1" w:rsidRDefault="00C37715" w:rsidP="001E672D">
            <w:pPr>
              <w:jc w:val="center"/>
              <w:rPr>
                <w:rFonts w:ascii="Aptos" w:hAnsi="Aptos" w:cs="Arial"/>
                <w:i/>
                <w:iCs/>
                <w:sz w:val="20"/>
                <w:szCs w:val="20"/>
              </w:rPr>
            </w:pPr>
            <w:r w:rsidRPr="00B462B1">
              <w:rPr>
                <w:rFonts w:ascii="Aptos" w:hAnsi="Aptos" w:cs="Arial"/>
                <w:i/>
                <w:iCs/>
                <w:sz w:val="20"/>
                <w:szCs w:val="20"/>
              </w:rPr>
              <w:t>2</w:t>
            </w:r>
          </w:p>
        </w:tc>
        <w:tc>
          <w:tcPr>
            <w:tcW w:w="0" w:type="auto"/>
            <w:vAlign w:val="center"/>
          </w:tcPr>
          <w:p w14:paraId="26749B83" w14:textId="77777777" w:rsidR="00C37715" w:rsidRPr="00B462B1" w:rsidRDefault="00C37715" w:rsidP="001E672D">
            <w:pPr>
              <w:jc w:val="center"/>
              <w:rPr>
                <w:rFonts w:ascii="Aptos" w:hAnsi="Aptos" w:cs="Arial"/>
                <w:i/>
                <w:iCs/>
                <w:sz w:val="20"/>
                <w:szCs w:val="20"/>
              </w:rPr>
            </w:pPr>
            <w:r w:rsidRPr="00B462B1">
              <w:rPr>
                <w:rFonts w:ascii="Aptos" w:hAnsi="Aptos" w:cs="Arial"/>
                <w:i/>
                <w:iCs/>
                <w:sz w:val="20"/>
                <w:szCs w:val="20"/>
              </w:rPr>
              <w:t>3</w:t>
            </w:r>
          </w:p>
        </w:tc>
        <w:tc>
          <w:tcPr>
            <w:tcW w:w="0" w:type="auto"/>
            <w:vAlign w:val="center"/>
          </w:tcPr>
          <w:p w14:paraId="627EBA64" w14:textId="77777777" w:rsidR="00C37715" w:rsidRPr="00B462B1" w:rsidRDefault="00C37715" w:rsidP="001E672D">
            <w:pPr>
              <w:jc w:val="center"/>
              <w:rPr>
                <w:rFonts w:ascii="Aptos" w:hAnsi="Aptos" w:cs="Arial"/>
                <w:i/>
                <w:iCs/>
                <w:sz w:val="20"/>
                <w:szCs w:val="20"/>
              </w:rPr>
            </w:pPr>
            <w:r w:rsidRPr="00B462B1">
              <w:rPr>
                <w:rFonts w:ascii="Aptos" w:hAnsi="Aptos" w:cs="Arial"/>
                <w:i/>
                <w:iCs/>
                <w:sz w:val="20"/>
                <w:szCs w:val="20"/>
              </w:rPr>
              <w:t>4</w:t>
            </w:r>
          </w:p>
        </w:tc>
        <w:tc>
          <w:tcPr>
            <w:tcW w:w="2016" w:type="dxa"/>
            <w:vAlign w:val="center"/>
          </w:tcPr>
          <w:p w14:paraId="32C18B4F" w14:textId="77777777" w:rsidR="00C37715" w:rsidRPr="00B462B1" w:rsidRDefault="00C37715" w:rsidP="001E672D">
            <w:pPr>
              <w:jc w:val="center"/>
              <w:rPr>
                <w:rFonts w:ascii="Aptos" w:hAnsi="Aptos" w:cs="Arial"/>
                <w:i/>
                <w:iCs/>
                <w:sz w:val="20"/>
                <w:szCs w:val="20"/>
              </w:rPr>
            </w:pPr>
            <w:r w:rsidRPr="00B462B1">
              <w:rPr>
                <w:rFonts w:ascii="Aptos" w:hAnsi="Aptos" w:cs="Arial"/>
                <w:i/>
                <w:iCs/>
                <w:sz w:val="20"/>
                <w:szCs w:val="20"/>
              </w:rPr>
              <w:t>5</w:t>
            </w:r>
          </w:p>
        </w:tc>
      </w:tr>
    </w:tbl>
    <w:p w14:paraId="0FAC145C" w14:textId="77777777" w:rsidR="00C37715" w:rsidRPr="00B462B1" w:rsidRDefault="00C37715" w:rsidP="00C37715">
      <w:pPr>
        <w:rPr>
          <w:rFonts w:ascii="Aptos" w:hAnsi="Aptos"/>
          <w:color w:val="000000"/>
        </w:rPr>
      </w:pPr>
    </w:p>
    <w:tbl>
      <w:tblPr>
        <w:tblStyle w:val="Tabelacomgrade"/>
        <w:tblW w:w="4840" w:type="pct"/>
        <w:tblInd w:w="172"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6164"/>
        <w:gridCol w:w="575"/>
        <w:gridCol w:w="577"/>
        <w:gridCol w:w="577"/>
        <w:gridCol w:w="577"/>
        <w:gridCol w:w="575"/>
      </w:tblGrid>
      <w:tr w:rsidR="00C37715" w:rsidRPr="00B462B1" w14:paraId="2B2E54A4" w14:textId="77777777" w:rsidTr="001E672D">
        <w:trPr>
          <w:trHeight w:val="276"/>
        </w:trPr>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95CB89"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 xml:space="preserve">I am afraid of having </w:t>
            </w:r>
            <w:proofErr w:type="gramStart"/>
            <w:r w:rsidRPr="00B462B1">
              <w:rPr>
                <w:rFonts w:ascii="Aptos" w:hAnsi="Aptos" w:cs="Arial"/>
                <w:sz w:val="20"/>
                <w:szCs w:val="20"/>
              </w:rPr>
              <w:t>a low</w:t>
            </w:r>
            <w:proofErr w:type="gramEnd"/>
            <w:r w:rsidRPr="00B462B1">
              <w:rPr>
                <w:rFonts w:ascii="Aptos" w:hAnsi="Aptos" w:cs="Arial"/>
                <w:sz w:val="20"/>
                <w:szCs w:val="20"/>
              </w:rPr>
              <w:t xml:space="preserve"> blood sugar when I am sleeping</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8AE36D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E7B8BEF"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4B42CE3"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F2ACADF"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17B58EA7"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34EB1CB8"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71E55B"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 xml:space="preserve">I am afraid of having </w:t>
            </w:r>
            <w:proofErr w:type="gramStart"/>
            <w:r w:rsidRPr="00B462B1">
              <w:rPr>
                <w:rFonts w:ascii="Aptos" w:hAnsi="Aptos" w:cs="Arial"/>
                <w:sz w:val="20"/>
                <w:szCs w:val="20"/>
              </w:rPr>
              <w:t>a low</w:t>
            </w:r>
            <w:proofErr w:type="gramEnd"/>
            <w:r w:rsidRPr="00B462B1">
              <w:rPr>
                <w:rFonts w:ascii="Aptos" w:hAnsi="Aptos" w:cs="Arial"/>
                <w:sz w:val="20"/>
                <w:szCs w:val="20"/>
              </w:rPr>
              <w:t xml:space="preserve"> blood sugar when no one is around to help me</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B789C5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D13807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0351A0C"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03501B9"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7C8FD4FE"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30EE6033"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B98FD8"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 xml:space="preserve">I am afraid of passing out due to </w:t>
            </w:r>
            <w:proofErr w:type="gramStart"/>
            <w:r w:rsidRPr="00B462B1">
              <w:rPr>
                <w:rFonts w:ascii="Aptos" w:hAnsi="Aptos" w:cs="Arial"/>
                <w:sz w:val="20"/>
                <w:szCs w:val="20"/>
              </w:rPr>
              <w:t>a low</w:t>
            </w:r>
            <w:proofErr w:type="gramEnd"/>
            <w:r w:rsidRPr="00B462B1">
              <w:rPr>
                <w:rFonts w:ascii="Aptos" w:hAnsi="Aptos" w:cs="Arial"/>
                <w:sz w:val="20"/>
                <w:szCs w:val="20"/>
              </w:rPr>
              <w:t xml:space="preserve"> blood sugar</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BD01281"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862D22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225F72C"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587F8FA"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4C6745D2"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2577D373"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ED43B1"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 xml:space="preserve">I am afraid of having </w:t>
            </w:r>
            <w:proofErr w:type="gramStart"/>
            <w:r w:rsidRPr="00B462B1">
              <w:rPr>
                <w:rFonts w:ascii="Aptos" w:hAnsi="Aptos" w:cs="Arial"/>
                <w:sz w:val="20"/>
                <w:szCs w:val="20"/>
              </w:rPr>
              <w:t>a low</w:t>
            </w:r>
            <w:proofErr w:type="gramEnd"/>
            <w:r w:rsidRPr="00B462B1">
              <w:rPr>
                <w:rFonts w:ascii="Aptos" w:hAnsi="Aptos" w:cs="Arial"/>
                <w:sz w:val="20"/>
                <w:szCs w:val="20"/>
              </w:rPr>
              <w:t xml:space="preserve"> blood sugar when I am out in public</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04ABBD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E15C99A"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4E3FB41"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92ABA77"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67403681"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4B9B120E"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F79B6D"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 xml:space="preserve">I am afraid of having </w:t>
            </w:r>
            <w:proofErr w:type="gramStart"/>
            <w:r w:rsidRPr="00B462B1">
              <w:rPr>
                <w:rFonts w:ascii="Aptos" w:hAnsi="Aptos" w:cs="Arial"/>
                <w:sz w:val="20"/>
                <w:szCs w:val="20"/>
              </w:rPr>
              <w:t>a low</w:t>
            </w:r>
            <w:proofErr w:type="gramEnd"/>
            <w:r w:rsidRPr="00B462B1">
              <w:rPr>
                <w:rFonts w:ascii="Aptos" w:hAnsi="Aptos" w:cs="Arial"/>
                <w:sz w:val="20"/>
                <w:szCs w:val="20"/>
              </w:rPr>
              <w:t xml:space="preserve"> blood sugar when I am driving</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612645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AA10D5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F8A9C54"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39BF996"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21C2DCB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798D38EC"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10834C"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 xml:space="preserve">I am afraid that I won’t catch and respond to </w:t>
            </w:r>
            <w:proofErr w:type="gramStart"/>
            <w:r w:rsidRPr="00B462B1">
              <w:rPr>
                <w:rFonts w:ascii="Aptos" w:hAnsi="Aptos" w:cs="Arial"/>
                <w:sz w:val="20"/>
                <w:szCs w:val="20"/>
              </w:rPr>
              <w:t>a low</w:t>
            </w:r>
            <w:proofErr w:type="gramEnd"/>
            <w:r w:rsidRPr="00B462B1">
              <w:rPr>
                <w:rFonts w:ascii="Aptos" w:hAnsi="Aptos" w:cs="Arial"/>
                <w:sz w:val="20"/>
                <w:szCs w:val="20"/>
              </w:rPr>
              <w:t xml:space="preserve"> blood sugar before it is too late</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F89B6C6"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135C4AA"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6C6759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69AE94C"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4FF4B33E"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3F285EEA"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CDA90D"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 xml:space="preserve">I eat a lot more than I really need to avoid having </w:t>
            </w:r>
            <w:proofErr w:type="gramStart"/>
            <w:r w:rsidRPr="00B462B1">
              <w:rPr>
                <w:rFonts w:ascii="Aptos" w:hAnsi="Aptos" w:cs="Arial"/>
                <w:sz w:val="20"/>
                <w:szCs w:val="20"/>
              </w:rPr>
              <w:t>a low</w:t>
            </w:r>
            <w:proofErr w:type="gramEnd"/>
            <w:r w:rsidRPr="00B462B1">
              <w:rPr>
                <w:rFonts w:ascii="Aptos" w:hAnsi="Aptos" w:cs="Arial"/>
                <w:sz w:val="20"/>
                <w:szCs w:val="20"/>
              </w:rPr>
              <w:t xml:space="preserve"> blood sugar</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1DB202E"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E6E50FC"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925D04E"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AB50472"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6D786786"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22DCF316"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ACE0BC1"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 xml:space="preserve">I limit my physical activity to avoid having </w:t>
            </w:r>
            <w:proofErr w:type="gramStart"/>
            <w:r w:rsidRPr="00B462B1">
              <w:rPr>
                <w:rFonts w:ascii="Aptos" w:hAnsi="Aptos" w:cs="Arial"/>
                <w:sz w:val="20"/>
                <w:szCs w:val="20"/>
              </w:rPr>
              <w:t>a low</w:t>
            </w:r>
            <w:proofErr w:type="gramEnd"/>
            <w:r w:rsidRPr="00B462B1">
              <w:rPr>
                <w:rFonts w:ascii="Aptos" w:hAnsi="Aptos" w:cs="Arial"/>
                <w:sz w:val="20"/>
                <w:szCs w:val="20"/>
              </w:rPr>
              <w:t xml:space="preserve"> blood sugar</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DA5AF4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842DBAF"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7F2CA0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83E29C3"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03D52444"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59C3364C"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66572E"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 xml:space="preserve">I keep my blood </w:t>
            </w:r>
            <w:proofErr w:type="gramStart"/>
            <w:r w:rsidRPr="00B462B1">
              <w:rPr>
                <w:rFonts w:ascii="Aptos" w:hAnsi="Aptos" w:cs="Arial"/>
                <w:sz w:val="20"/>
                <w:szCs w:val="20"/>
              </w:rPr>
              <w:t>sugars</w:t>
            </w:r>
            <w:proofErr w:type="gramEnd"/>
            <w:r w:rsidRPr="00B462B1">
              <w:rPr>
                <w:rFonts w:ascii="Aptos" w:hAnsi="Aptos" w:cs="Arial"/>
                <w:sz w:val="20"/>
                <w:szCs w:val="20"/>
              </w:rPr>
              <w:t xml:space="preserve"> high to avoid having </w:t>
            </w:r>
            <w:proofErr w:type="gramStart"/>
            <w:r w:rsidRPr="00B462B1">
              <w:rPr>
                <w:rFonts w:ascii="Aptos" w:hAnsi="Aptos" w:cs="Arial"/>
                <w:sz w:val="20"/>
                <w:szCs w:val="20"/>
              </w:rPr>
              <w:t>a low</w:t>
            </w:r>
            <w:proofErr w:type="gramEnd"/>
            <w:r w:rsidRPr="00B462B1">
              <w:rPr>
                <w:rFonts w:ascii="Aptos" w:hAnsi="Aptos" w:cs="Arial"/>
                <w:sz w:val="20"/>
                <w:szCs w:val="20"/>
              </w:rPr>
              <w:t xml:space="preserve"> blood sugar</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E2B3E6E"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C06B6B5"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89C392A"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C49BA08"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03727A1C"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bl>
    <w:p w14:paraId="3106EF4E" w14:textId="77777777" w:rsidR="00C37715" w:rsidRPr="00B462B1" w:rsidRDefault="00C37715" w:rsidP="00C37715">
      <w:pPr>
        <w:rPr>
          <w:rFonts w:ascii="Aptos" w:hAnsi="Aptos"/>
        </w:rPr>
      </w:pPr>
    </w:p>
    <w:p w14:paraId="72175A2D" w14:textId="77777777" w:rsidR="00C37715" w:rsidRPr="00B462B1" w:rsidRDefault="00C37715" w:rsidP="00C37715">
      <w:pPr>
        <w:rPr>
          <w:rFonts w:ascii="Aptos" w:hAnsi="Aptos"/>
        </w:rPr>
      </w:pPr>
      <w:r w:rsidRPr="00B462B1">
        <w:rPr>
          <w:rFonts w:ascii="Aptos" w:hAnsi="Aptos"/>
        </w:rPr>
        <w:br w:type="page"/>
      </w:r>
    </w:p>
    <w:p w14:paraId="04EB5E32" w14:textId="77777777" w:rsidR="00C37715" w:rsidRPr="00B462B1" w:rsidRDefault="00C37715" w:rsidP="00C37715">
      <w:pPr>
        <w:pStyle w:val="Heading1"/>
        <w:rPr>
          <w:rFonts w:ascii="Aptos" w:hAnsi="Aptos" w:hint="eastAsia"/>
        </w:rPr>
      </w:pPr>
      <w:r w:rsidRPr="00B462B1">
        <w:rPr>
          <w:rFonts w:ascii="Aptos" w:hAnsi="Aptos"/>
        </w:rPr>
        <w:lastRenderedPageBreak/>
        <w:t xml:space="preserve">Instructions for Clinicians </w:t>
      </w:r>
    </w:p>
    <w:p w14:paraId="548962BA" w14:textId="77777777" w:rsidR="00C37715" w:rsidRPr="00B462B1" w:rsidRDefault="00C37715" w:rsidP="00C37715">
      <w:pPr>
        <w:spacing w:before="120"/>
        <w:rPr>
          <w:rFonts w:ascii="Aptos" w:hAnsi="Aptos"/>
          <w:b/>
          <w:bCs/>
        </w:rPr>
      </w:pPr>
      <w:r w:rsidRPr="00B462B1">
        <w:rPr>
          <w:rFonts w:ascii="Aptos" w:hAnsi="Aptos"/>
          <w:b/>
          <w:bCs/>
        </w:rPr>
        <w:t xml:space="preserve">Background </w:t>
      </w:r>
    </w:p>
    <w:p w14:paraId="359D6D1C" w14:textId="32CFFC2E" w:rsidR="00C37715" w:rsidRPr="00B462B1" w:rsidRDefault="00C37715" w:rsidP="00C37715">
      <w:pPr>
        <w:rPr>
          <w:rFonts w:ascii="Aptos" w:hAnsi="Aptos"/>
        </w:rPr>
      </w:pPr>
      <w:r w:rsidRPr="00B462B1">
        <w:rPr>
          <w:rFonts w:ascii="Aptos" w:hAnsi="Aptos"/>
        </w:rPr>
        <w:t>This fear of hypoglycemia (FOH) screener was developed in collaboration between Eli Lilly and T1D Exchange, under the consultation of Drs. Lawrence Fisher, Frank Snoek, and Korey Hood. A pool of draft items was developed based on FOH literature, interviews with diabetes care providers, and interviews with adults living with type 1 diabetes (T1D). Subsequent quantitative research was conducted to finalize the nine items in this screener and established reliability and validity of the new screener [1,2</w:t>
      </w:r>
      <w:r w:rsidR="00DC38DA">
        <w:rPr>
          <w:rFonts w:ascii="Aptos" w:hAnsi="Aptos"/>
        </w:rPr>
        <w:t>, 3</w:t>
      </w:r>
      <w:r w:rsidRPr="00B462B1">
        <w:rPr>
          <w:rFonts w:ascii="Aptos" w:hAnsi="Aptos"/>
        </w:rPr>
        <w:t xml:space="preserve">].    </w:t>
      </w:r>
    </w:p>
    <w:p w14:paraId="736FA874" w14:textId="77777777" w:rsidR="00C37715" w:rsidRPr="00B462B1" w:rsidRDefault="00C37715" w:rsidP="00C37715">
      <w:pPr>
        <w:spacing w:before="120" w:after="0"/>
        <w:rPr>
          <w:rFonts w:ascii="Aptos" w:hAnsi="Aptos"/>
          <w:b/>
          <w:bCs/>
        </w:rPr>
      </w:pPr>
    </w:p>
    <w:p w14:paraId="1D9E6FD1" w14:textId="77777777" w:rsidR="00C37715" w:rsidRPr="00B462B1" w:rsidRDefault="00C37715" w:rsidP="00C37715">
      <w:pPr>
        <w:spacing w:before="120"/>
        <w:rPr>
          <w:rFonts w:ascii="Aptos" w:hAnsi="Aptos"/>
          <w:b/>
          <w:bCs/>
        </w:rPr>
      </w:pPr>
      <w:r w:rsidRPr="00B462B1">
        <w:rPr>
          <w:rFonts w:ascii="Aptos" w:hAnsi="Aptos"/>
          <w:b/>
          <w:bCs/>
        </w:rPr>
        <w:t xml:space="preserve">Administering the screener </w:t>
      </w:r>
    </w:p>
    <w:p w14:paraId="62345A33" w14:textId="77777777" w:rsidR="00C37715" w:rsidRPr="00B462B1" w:rsidRDefault="00C37715" w:rsidP="00C37715">
      <w:pPr>
        <w:rPr>
          <w:rFonts w:ascii="Aptos" w:hAnsi="Aptos"/>
        </w:rPr>
      </w:pPr>
      <w:r w:rsidRPr="00B462B1">
        <w:rPr>
          <w:rFonts w:ascii="Aptos" w:hAnsi="Aptos"/>
        </w:rPr>
        <w:t xml:space="preserve">Administer this screener to adult (18 years or older) patients with T1D prior to their visits with the diabetes care team. The screener can be administered in either paper or electronic form. Clinicians are encouraged to discuss patients’ screener responses during their visits. </w:t>
      </w:r>
    </w:p>
    <w:p w14:paraId="0D7535FD" w14:textId="77777777" w:rsidR="00C37715" w:rsidRPr="00B462B1" w:rsidRDefault="00C37715" w:rsidP="00C37715">
      <w:pPr>
        <w:rPr>
          <w:rFonts w:ascii="Aptos" w:hAnsi="Aptos"/>
        </w:rPr>
      </w:pPr>
      <w:r w:rsidRPr="00B462B1">
        <w:rPr>
          <w:rFonts w:ascii="Aptos" w:hAnsi="Aptos"/>
        </w:rPr>
        <w:t xml:space="preserve">To monitor patients’ FOH over time, the screener is recommended to be administered at least once a year. The screener may be administered more frequently with clinician discretion, if patients score above threshold scores (see sections below) and are undergoing interventions to address FOH. </w:t>
      </w:r>
    </w:p>
    <w:p w14:paraId="64A4EE1E" w14:textId="77777777" w:rsidR="00C37715" w:rsidRPr="00B462B1" w:rsidRDefault="00C37715" w:rsidP="00C37715">
      <w:pPr>
        <w:spacing w:before="120" w:after="0"/>
        <w:rPr>
          <w:rFonts w:ascii="Aptos" w:hAnsi="Aptos"/>
          <w:b/>
          <w:bCs/>
        </w:rPr>
      </w:pPr>
    </w:p>
    <w:p w14:paraId="264FF27B" w14:textId="77777777" w:rsidR="00C37715" w:rsidRPr="00B462B1" w:rsidRDefault="00C37715" w:rsidP="00C37715">
      <w:pPr>
        <w:rPr>
          <w:rFonts w:ascii="Aptos" w:hAnsi="Aptos"/>
          <w:b/>
          <w:bCs/>
        </w:rPr>
      </w:pPr>
      <w:r w:rsidRPr="00B462B1">
        <w:rPr>
          <w:rFonts w:ascii="Aptos" w:hAnsi="Aptos"/>
          <w:b/>
          <w:bCs/>
        </w:rPr>
        <w:t xml:space="preserve">Understanding the screener scores </w:t>
      </w:r>
    </w:p>
    <w:p w14:paraId="64161CA4" w14:textId="77777777" w:rsidR="00C37715" w:rsidRPr="00B462B1" w:rsidRDefault="00C37715" w:rsidP="00C37715">
      <w:pPr>
        <w:rPr>
          <w:rFonts w:ascii="Aptos" w:hAnsi="Aptos"/>
        </w:rPr>
      </w:pPr>
      <w:r w:rsidRPr="00B462B1">
        <w:rPr>
          <w:rFonts w:ascii="Aptos" w:hAnsi="Aptos"/>
        </w:rPr>
        <w:t xml:space="preserve">This screener is NOT a diagnostic tool for FOH, instead, it identifies adults with T1D who are at high risk for FOH and its related self-management behaviors that may lead to suboptimal diabetes outcomes, such as higher A1c and more comorbidities. </w:t>
      </w:r>
    </w:p>
    <w:p w14:paraId="3F55B61D" w14:textId="77777777" w:rsidR="00C37715" w:rsidRPr="00B462B1" w:rsidRDefault="00C37715" w:rsidP="00C37715">
      <w:pPr>
        <w:rPr>
          <w:rFonts w:ascii="Aptos" w:hAnsi="Aptos"/>
        </w:rPr>
      </w:pPr>
      <w:r w:rsidRPr="00B462B1">
        <w:rPr>
          <w:rFonts w:ascii="Aptos" w:hAnsi="Aptos"/>
        </w:rPr>
        <w:t xml:space="preserve">This 9-item scale generates three scores to assess a patient’s level of FOH: </w:t>
      </w:r>
    </w:p>
    <w:p w14:paraId="56385E03" w14:textId="77777777" w:rsidR="00C37715" w:rsidRPr="00B462B1" w:rsidRDefault="00C37715" w:rsidP="00C37715">
      <w:pPr>
        <w:pStyle w:val="ListParagraph"/>
        <w:numPr>
          <w:ilvl w:val="0"/>
          <w:numId w:val="3"/>
        </w:numPr>
        <w:contextualSpacing w:val="0"/>
        <w:rPr>
          <w:rFonts w:ascii="Aptos" w:hAnsi="Aptos"/>
        </w:rPr>
      </w:pPr>
      <w:r w:rsidRPr="00B462B1">
        <w:rPr>
          <w:rFonts w:ascii="Aptos" w:hAnsi="Aptos"/>
          <w:u w:val="single"/>
        </w:rPr>
        <w:t>A worry domain score</w:t>
      </w:r>
      <w:r w:rsidRPr="00B462B1">
        <w:rPr>
          <w:rFonts w:ascii="Aptos" w:hAnsi="Aptos"/>
        </w:rPr>
        <w:t>: sum up the scores of items 1-6. Worry subscale scores range from 6 to 30, a score above 23 (24-30) indicates higher risk of excessive worrying around hypoglycemia. Scores above 23 are associated with higher levels of depression, anxiety, and diabetes distress, as well as experiences with more severe hypoglycemia in the past year.</w:t>
      </w:r>
    </w:p>
    <w:p w14:paraId="4B7B6D02" w14:textId="77777777" w:rsidR="00C37715" w:rsidRPr="00B462B1" w:rsidRDefault="00C37715" w:rsidP="00C37715">
      <w:pPr>
        <w:pStyle w:val="ListParagraph"/>
        <w:numPr>
          <w:ilvl w:val="0"/>
          <w:numId w:val="3"/>
        </w:numPr>
        <w:contextualSpacing w:val="0"/>
        <w:rPr>
          <w:rFonts w:ascii="Aptos" w:hAnsi="Aptos"/>
        </w:rPr>
      </w:pPr>
      <w:r w:rsidRPr="00B462B1">
        <w:rPr>
          <w:rFonts w:ascii="Aptos" w:hAnsi="Aptos"/>
          <w:u w:val="single"/>
        </w:rPr>
        <w:t xml:space="preserve">A </w:t>
      </w:r>
      <w:proofErr w:type="gramStart"/>
      <w:r w:rsidRPr="00B462B1">
        <w:rPr>
          <w:rFonts w:ascii="Aptos" w:hAnsi="Aptos"/>
          <w:u w:val="single"/>
        </w:rPr>
        <w:t>behavior domain</w:t>
      </w:r>
      <w:proofErr w:type="gramEnd"/>
      <w:r w:rsidRPr="00B462B1">
        <w:rPr>
          <w:rFonts w:ascii="Aptos" w:hAnsi="Aptos"/>
          <w:u w:val="single"/>
        </w:rPr>
        <w:t xml:space="preserve"> score</w:t>
      </w:r>
      <w:r w:rsidRPr="00B462B1">
        <w:rPr>
          <w:rFonts w:ascii="Aptos" w:hAnsi="Aptos"/>
        </w:rPr>
        <w:t xml:space="preserve">: sum up the scores of items 7-9. Behavior subscale scores range from 3 to 15, a score above 9 (10-15) indicates more behavior to avoid hypoglycemia. Scores above 9 are associated with higher A1c and less frequent exercise; patients scoring above 9 also reported keeping their blood glucose at higher levels. </w:t>
      </w:r>
    </w:p>
    <w:p w14:paraId="15ABC15E" w14:textId="7BD7C8C6" w:rsidR="00AA55A1" w:rsidRPr="00D4260A" w:rsidRDefault="00C37715" w:rsidP="00C37715">
      <w:pPr>
        <w:pStyle w:val="ListParagraph"/>
        <w:numPr>
          <w:ilvl w:val="0"/>
          <w:numId w:val="3"/>
        </w:numPr>
        <w:contextualSpacing w:val="0"/>
        <w:rPr>
          <w:rFonts w:ascii="Aptos" w:hAnsi="Aptos"/>
        </w:rPr>
      </w:pPr>
      <w:r w:rsidRPr="00B462B1">
        <w:rPr>
          <w:rFonts w:ascii="Aptos" w:hAnsi="Aptos"/>
          <w:u w:val="single"/>
        </w:rPr>
        <w:t>A total FOH score</w:t>
      </w:r>
      <w:r w:rsidRPr="00B462B1">
        <w:rPr>
          <w:rFonts w:ascii="Aptos" w:hAnsi="Aptos"/>
        </w:rPr>
        <w:t>: sum up the scores of all items. Total scores range from 9 to 45, a score above 30 (31-45) indicates higher risk for fear of hypoglycemia. Scores above 30 are associated with higher A1c, higher BG levels, more comorbid conditions, higher depression, anxiety, and diabetes distress, as well as experience with severe hypoglycemia in the past year.</w:t>
      </w:r>
    </w:p>
    <w:p w14:paraId="04786EDB" w14:textId="70EED69A" w:rsidR="00C37715" w:rsidRPr="00B462B1" w:rsidRDefault="00C37715" w:rsidP="00C37715">
      <w:pPr>
        <w:rPr>
          <w:rFonts w:ascii="Aptos" w:hAnsi="Aptos"/>
          <w:b/>
          <w:bCs/>
        </w:rPr>
      </w:pPr>
      <w:r w:rsidRPr="00B462B1">
        <w:rPr>
          <w:rFonts w:ascii="Aptos" w:hAnsi="Aptos"/>
          <w:b/>
          <w:bCs/>
        </w:rPr>
        <w:lastRenderedPageBreak/>
        <w:t>For patients scoring above threshold</w:t>
      </w:r>
    </w:p>
    <w:p w14:paraId="1B417DBC" w14:textId="77777777" w:rsidR="00C37715" w:rsidRPr="00B462B1" w:rsidRDefault="00C37715" w:rsidP="00C37715">
      <w:pPr>
        <w:rPr>
          <w:rFonts w:ascii="Aptos" w:hAnsi="Aptos"/>
        </w:rPr>
      </w:pPr>
      <w:r w:rsidRPr="00B462B1">
        <w:rPr>
          <w:rFonts w:ascii="Aptos" w:hAnsi="Aptos"/>
        </w:rPr>
        <w:t xml:space="preserve">Follow-up conversations with patients who score above either the sub-domain threshold or the total score threshold are advisable. Important topics to discuss include but are not limited to: </w:t>
      </w:r>
    </w:p>
    <w:p w14:paraId="3A815549" w14:textId="77777777" w:rsidR="00C37715" w:rsidRPr="00B462B1" w:rsidRDefault="00C37715" w:rsidP="00C37715">
      <w:pPr>
        <w:pStyle w:val="ListParagraph"/>
        <w:numPr>
          <w:ilvl w:val="0"/>
          <w:numId w:val="3"/>
        </w:numPr>
        <w:rPr>
          <w:rFonts w:ascii="Aptos" w:hAnsi="Aptos"/>
        </w:rPr>
      </w:pPr>
      <w:r w:rsidRPr="00B462B1">
        <w:rPr>
          <w:rFonts w:ascii="Aptos" w:hAnsi="Aptos"/>
        </w:rPr>
        <w:t xml:space="preserve">What specific aspects and potential causes of hypoglycemia are they most concerned about? </w:t>
      </w:r>
    </w:p>
    <w:p w14:paraId="0EB1B002" w14:textId="77777777" w:rsidR="00C37715" w:rsidRPr="00B462B1" w:rsidRDefault="00C37715" w:rsidP="00C37715">
      <w:pPr>
        <w:pStyle w:val="ListParagraph"/>
        <w:numPr>
          <w:ilvl w:val="1"/>
          <w:numId w:val="3"/>
        </w:numPr>
        <w:rPr>
          <w:rFonts w:ascii="Aptos" w:hAnsi="Aptos"/>
        </w:rPr>
      </w:pPr>
      <w:r w:rsidRPr="00B462B1">
        <w:rPr>
          <w:rFonts w:ascii="Aptos" w:hAnsi="Aptos"/>
        </w:rPr>
        <w:t xml:space="preserve">Where did these concerns come from? </w:t>
      </w:r>
    </w:p>
    <w:p w14:paraId="51B9F213" w14:textId="77777777" w:rsidR="00C37715" w:rsidRPr="00B462B1" w:rsidRDefault="00C37715" w:rsidP="00C37715">
      <w:pPr>
        <w:pStyle w:val="ListParagraph"/>
        <w:numPr>
          <w:ilvl w:val="1"/>
          <w:numId w:val="3"/>
        </w:numPr>
        <w:rPr>
          <w:rFonts w:ascii="Aptos" w:hAnsi="Aptos"/>
        </w:rPr>
      </w:pPr>
      <w:r w:rsidRPr="00B462B1">
        <w:rPr>
          <w:rFonts w:ascii="Aptos" w:hAnsi="Aptos"/>
        </w:rPr>
        <w:t>How applicable are they now?</w:t>
      </w:r>
    </w:p>
    <w:p w14:paraId="6588A954" w14:textId="77777777" w:rsidR="00C37715" w:rsidRPr="00B462B1" w:rsidRDefault="00C37715" w:rsidP="00C37715">
      <w:pPr>
        <w:pStyle w:val="ListParagraph"/>
        <w:numPr>
          <w:ilvl w:val="0"/>
          <w:numId w:val="3"/>
        </w:numPr>
        <w:rPr>
          <w:rFonts w:ascii="Aptos" w:hAnsi="Aptos"/>
        </w:rPr>
      </w:pPr>
      <w:r w:rsidRPr="00B462B1">
        <w:rPr>
          <w:rFonts w:ascii="Aptos" w:hAnsi="Aptos"/>
        </w:rPr>
        <w:t xml:space="preserve">Is the patient at higher risk for severe hypoglycemia? </w:t>
      </w:r>
    </w:p>
    <w:p w14:paraId="46D4E0F8" w14:textId="77777777" w:rsidR="00C37715" w:rsidRPr="00B462B1" w:rsidRDefault="00C37715" w:rsidP="00C37715">
      <w:pPr>
        <w:pStyle w:val="ListParagraph"/>
        <w:numPr>
          <w:ilvl w:val="0"/>
          <w:numId w:val="3"/>
        </w:numPr>
        <w:rPr>
          <w:rFonts w:ascii="Aptos" w:hAnsi="Aptos"/>
        </w:rPr>
      </w:pPr>
      <w:r w:rsidRPr="00B462B1">
        <w:rPr>
          <w:rFonts w:ascii="Aptos" w:hAnsi="Aptos"/>
        </w:rPr>
        <w:t>Does the patient have impaired awareness of hypoglycemia?</w:t>
      </w:r>
    </w:p>
    <w:p w14:paraId="6FC761AF" w14:textId="77777777" w:rsidR="00C37715" w:rsidRPr="00B462B1" w:rsidRDefault="00C37715" w:rsidP="00C37715">
      <w:pPr>
        <w:pStyle w:val="ListParagraph"/>
        <w:numPr>
          <w:ilvl w:val="0"/>
          <w:numId w:val="3"/>
        </w:numPr>
        <w:rPr>
          <w:rFonts w:ascii="Aptos" w:hAnsi="Aptos"/>
        </w:rPr>
      </w:pPr>
      <w:r w:rsidRPr="00B462B1">
        <w:rPr>
          <w:rFonts w:ascii="Aptos" w:hAnsi="Aptos"/>
        </w:rPr>
        <w:t xml:space="preserve">Has the patient received adequate diabetes education on managing hypoglycemia? </w:t>
      </w:r>
    </w:p>
    <w:p w14:paraId="4EFB5D60" w14:textId="77777777" w:rsidR="00C37715" w:rsidRPr="00B462B1" w:rsidRDefault="00C37715" w:rsidP="00C37715">
      <w:pPr>
        <w:pStyle w:val="ListParagraph"/>
        <w:numPr>
          <w:ilvl w:val="0"/>
          <w:numId w:val="3"/>
        </w:numPr>
        <w:rPr>
          <w:rFonts w:ascii="Aptos" w:hAnsi="Aptos"/>
        </w:rPr>
      </w:pPr>
      <w:r w:rsidRPr="00B462B1">
        <w:rPr>
          <w:rFonts w:ascii="Aptos" w:hAnsi="Aptos"/>
        </w:rPr>
        <w:t xml:space="preserve">Will technology, </w:t>
      </w:r>
      <w:proofErr w:type="gramStart"/>
      <w:r w:rsidRPr="00B462B1">
        <w:rPr>
          <w:rFonts w:ascii="Aptos" w:hAnsi="Aptos"/>
        </w:rPr>
        <w:t>in particular</w:t>
      </w:r>
      <w:proofErr w:type="gramEnd"/>
      <w:r w:rsidRPr="00B462B1">
        <w:rPr>
          <w:rFonts w:ascii="Aptos" w:hAnsi="Aptos"/>
        </w:rPr>
        <w:t xml:space="preserve"> CGM use, help the patient cope with FOH?</w:t>
      </w:r>
    </w:p>
    <w:p w14:paraId="1C3A0DCF" w14:textId="77777777" w:rsidR="00C37715" w:rsidRPr="00B462B1" w:rsidRDefault="00C37715" w:rsidP="00C37715">
      <w:pPr>
        <w:pStyle w:val="ListParagraph"/>
        <w:numPr>
          <w:ilvl w:val="0"/>
          <w:numId w:val="3"/>
        </w:numPr>
        <w:rPr>
          <w:rFonts w:ascii="Aptos" w:hAnsi="Aptos"/>
        </w:rPr>
      </w:pPr>
      <w:r w:rsidRPr="00B462B1">
        <w:rPr>
          <w:rFonts w:ascii="Aptos" w:hAnsi="Aptos"/>
        </w:rPr>
        <w:t xml:space="preserve">Does the patient have any other co-occurring psychosocial conditions, such as depression, generalized anxiety, or diabetes distress, that need to be addressed? </w:t>
      </w:r>
    </w:p>
    <w:p w14:paraId="7A30812F" w14:textId="77777777" w:rsidR="00C37715" w:rsidRPr="00B462B1" w:rsidRDefault="00C37715" w:rsidP="00C37715">
      <w:pPr>
        <w:rPr>
          <w:rFonts w:ascii="Aptos" w:hAnsi="Aptos"/>
          <w:b/>
          <w:bCs/>
        </w:rPr>
      </w:pPr>
    </w:p>
    <w:p w14:paraId="31D8D0C0" w14:textId="77777777" w:rsidR="00C37715" w:rsidRPr="00B462B1" w:rsidRDefault="00C37715" w:rsidP="00C37715">
      <w:pPr>
        <w:rPr>
          <w:rFonts w:ascii="Aptos" w:hAnsi="Aptos"/>
          <w:b/>
          <w:bCs/>
        </w:rPr>
      </w:pPr>
      <w:r w:rsidRPr="00B462B1">
        <w:rPr>
          <w:rFonts w:ascii="Aptos" w:hAnsi="Aptos"/>
          <w:b/>
          <w:bCs/>
        </w:rPr>
        <w:t xml:space="preserve">For patients scoring below threshold </w:t>
      </w:r>
    </w:p>
    <w:p w14:paraId="65CD2625" w14:textId="77777777" w:rsidR="00C37715" w:rsidRPr="00B462B1" w:rsidRDefault="00C37715" w:rsidP="00C37715">
      <w:pPr>
        <w:rPr>
          <w:rFonts w:ascii="Aptos" w:hAnsi="Aptos"/>
        </w:rPr>
      </w:pPr>
      <w:r w:rsidRPr="00B462B1">
        <w:rPr>
          <w:rFonts w:ascii="Aptos" w:hAnsi="Aptos"/>
        </w:rPr>
        <w:t xml:space="preserve">Clinicians are still encouraged to review patients’ responses to individual items and invite patients to discuss any specific concerns they may have </w:t>
      </w:r>
      <w:proofErr w:type="gramStart"/>
      <w:r w:rsidRPr="00B462B1">
        <w:rPr>
          <w:rFonts w:ascii="Aptos" w:hAnsi="Aptos"/>
        </w:rPr>
        <w:t>regarding</w:t>
      </w:r>
      <w:proofErr w:type="gramEnd"/>
      <w:r w:rsidRPr="00B462B1">
        <w:rPr>
          <w:rFonts w:ascii="Aptos" w:hAnsi="Aptos"/>
        </w:rPr>
        <w:t xml:space="preserve"> FOH, sleep, exercise, or other specific circumstances. </w:t>
      </w:r>
    </w:p>
    <w:p w14:paraId="0A3D55D3" w14:textId="77777777" w:rsidR="00C37715" w:rsidRPr="00B462B1" w:rsidRDefault="00C37715" w:rsidP="00C37715">
      <w:pPr>
        <w:rPr>
          <w:rFonts w:ascii="Aptos" w:hAnsi="Aptos"/>
        </w:rPr>
      </w:pPr>
    </w:p>
    <w:p w14:paraId="6E124735" w14:textId="77777777" w:rsidR="00C37715" w:rsidRPr="00B462B1" w:rsidRDefault="00C37715" w:rsidP="00C37715">
      <w:pPr>
        <w:rPr>
          <w:rFonts w:ascii="Aptos" w:hAnsi="Aptos"/>
        </w:rPr>
      </w:pPr>
    </w:p>
    <w:p w14:paraId="4E42A800" w14:textId="77777777" w:rsidR="00C37715" w:rsidRPr="00B462B1" w:rsidRDefault="00C37715" w:rsidP="00C37715">
      <w:pPr>
        <w:rPr>
          <w:rFonts w:ascii="Aptos" w:hAnsi="Aptos"/>
        </w:rPr>
      </w:pPr>
    </w:p>
    <w:p w14:paraId="6E33E9A1" w14:textId="77777777" w:rsidR="00C37715" w:rsidRPr="00B462B1" w:rsidRDefault="00C37715" w:rsidP="00C37715">
      <w:pPr>
        <w:rPr>
          <w:rFonts w:ascii="Aptos" w:hAnsi="Aptos"/>
        </w:rPr>
      </w:pPr>
      <w:r w:rsidRPr="00B462B1">
        <w:rPr>
          <w:rFonts w:ascii="Aptos" w:hAnsi="Aptos"/>
        </w:rPr>
        <w:t xml:space="preserve">References </w:t>
      </w:r>
    </w:p>
    <w:p w14:paraId="5896B954" w14:textId="77777777" w:rsidR="00C37715" w:rsidRPr="00B462B1" w:rsidRDefault="00C37715" w:rsidP="00C37715">
      <w:pPr>
        <w:numPr>
          <w:ilvl w:val="0"/>
          <w:numId w:val="2"/>
        </w:numPr>
        <w:rPr>
          <w:rFonts w:ascii="Aptos" w:hAnsi="Aptos"/>
        </w:rPr>
      </w:pPr>
      <w:r w:rsidRPr="00B462B1">
        <w:rPr>
          <w:rFonts w:ascii="Aptos" w:hAnsi="Aptos"/>
        </w:rPr>
        <w:t xml:space="preserve">Mitchell, B., Bispham, J., Hughes, A.S., Liu, J., Perez-Nieves, M., Poon, J., Fan, L., McAuliffe-Fogarty, A. (2020). 392-P: Development of a fear of hypoglycemia screener: type 1 diabetes health care provider insight. </w:t>
      </w:r>
      <w:r w:rsidRPr="00B462B1">
        <w:rPr>
          <w:rFonts w:ascii="Aptos" w:hAnsi="Aptos"/>
          <w:i/>
          <w:iCs/>
        </w:rPr>
        <w:t>Diabetes</w:t>
      </w:r>
      <w:r w:rsidRPr="00B462B1">
        <w:rPr>
          <w:rFonts w:ascii="Aptos" w:hAnsi="Aptos"/>
        </w:rPr>
        <w:t xml:space="preserve">. 2020;69(Supplement 1):392-P. doi:10.2337/db20-392-P </w:t>
      </w:r>
    </w:p>
    <w:p w14:paraId="29509E77" w14:textId="77777777" w:rsidR="00C37715" w:rsidRDefault="00C37715" w:rsidP="00C37715">
      <w:pPr>
        <w:numPr>
          <w:ilvl w:val="0"/>
          <w:numId w:val="2"/>
        </w:numPr>
        <w:rPr>
          <w:rFonts w:ascii="Aptos" w:hAnsi="Aptos"/>
        </w:rPr>
      </w:pPr>
      <w:r w:rsidRPr="00B462B1">
        <w:rPr>
          <w:rFonts w:ascii="Aptos" w:hAnsi="Aptos"/>
        </w:rPr>
        <w:t xml:space="preserve">Bispham, J., Mitchell, B., Hughes, A.S., Perez-Nieves, M., Poon, J., Fan, L., McAuliffe-Fogarty, </w:t>
      </w:r>
      <w:proofErr w:type="gramStart"/>
      <w:r w:rsidRPr="00B462B1">
        <w:rPr>
          <w:rFonts w:ascii="Aptos" w:hAnsi="Aptos"/>
        </w:rPr>
        <w:t>A .</w:t>
      </w:r>
      <w:proofErr w:type="gramEnd"/>
      <w:r w:rsidRPr="00B462B1">
        <w:rPr>
          <w:rFonts w:ascii="Aptos" w:hAnsi="Aptos"/>
        </w:rPr>
        <w:t xml:space="preserve">, Liu, J. Development of a Fear of Hypoglycemia Screener: Type 1 Diabetes Patient Insight. Poster presented at the ADCES 2020 Annual Meeting. </w:t>
      </w:r>
    </w:p>
    <w:p w14:paraId="714AA5FE" w14:textId="747FCEF9" w:rsidR="00C0438D" w:rsidRPr="00DC38DA" w:rsidRDefault="00DC38DA" w:rsidP="00DC38DA">
      <w:pPr>
        <w:pStyle w:val="ListParagraph"/>
        <w:numPr>
          <w:ilvl w:val="0"/>
          <w:numId w:val="2"/>
        </w:numPr>
        <w:rPr>
          <w:rFonts w:ascii="Aptos" w:hAnsi="Aptos"/>
        </w:rPr>
      </w:pPr>
      <w:r w:rsidRPr="00DC38DA">
        <w:rPr>
          <w:rFonts w:ascii="Aptos" w:hAnsi="Aptos"/>
        </w:rPr>
        <w:t xml:space="preserve">Liu J, Poon JL, Bispham J, Perez-Nieves M, Hughes A, Chapman K, Mitchell B, Hood K, Snoek F, Fisher L. Development and validation of fear of hypoglycemia screener: results from the T1D exchange registry. J Patient Rep Outcomes. 2023 May 9;7(1):43. </w:t>
      </w:r>
      <w:proofErr w:type="spellStart"/>
      <w:r w:rsidRPr="00DC38DA">
        <w:rPr>
          <w:rFonts w:ascii="Aptos" w:hAnsi="Aptos"/>
        </w:rPr>
        <w:t>doi</w:t>
      </w:r>
      <w:proofErr w:type="spellEnd"/>
      <w:r w:rsidRPr="00DC38DA">
        <w:rPr>
          <w:rFonts w:ascii="Aptos" w:hAnsi="Aptos"/>
        </w:rPr>
        <w:t>: 10.1186/s41687-023-00585-9. PMID: 37160500; PMCID: PMC10169988.Development and validation of fear of hypoglycemia screener: results from the T1D exchange registry - PMC</w:t>
      </w:r>
    </w:p>
    <w:p w14:paraId="7DBAC805" w14:textId="75CB2E29" w:rsidR="4B6AFBC7" w:rsidRDefault="4B6AFBC7" w:rsidP="07B68B2C">
      <w:pPr>
        <w:rPr>
          <w:rFonts w:ascii="Aptos" w:hAnsi="Aptos"/>
        </w:rPr>
      </w:pPr>
    </w:p>
    <w:p w14:paraId="1090865A" w14:textId="686063A4" w:rsidR="07B68B2C" w:rsidRDefault="07B68B2C" w:rsidP="07B68B2C">
      <w:pPr>
        <w:rPr>
          <w:rFonts w:ascii="Aptos" w:hAnsi="Aptos"/>
        </w:rPr>
      </w:pPr>
    </w:p>
    <w:p w14:paraId="598B9C7F" w14:textId="7E585EC2" w:rsidR="00C00B42" w:rsidRPr="00B462B1" w:rsidRDefault="00C00B42" w:rsidP="11EAB2A2">
      <w:pPr>
        <w:rPr>
          <w:rFonts w:ascii="Aptos" w:hAnsi="Aptos"/>
        </w:rPr>
      </w:pPr>
    </w:p>
    <w:p w14:paraId="2CEBB600" w14:textId="7426B2C9" w:rsidR="00C00B42" w:rsidRPr="00B462B1" w:rsidRDefault="00C00B42" w:rsidP="11EAB2A2">
      <w:pPr>
        <w:rPr>
          <w:rFonts w:ascii="Aptos" w:hAnsi="Aptos"/>
        </w:rPr>
      </w:pPr>
    </w:p>
    <w:p w14:paraId="5F0A0A91" w14:textId="38D48E9E" w:rsidR="00C00B42" w:rsidRPr="00B462B1" w:rsidRDefault="00C00B42" w:rsidP="36FFC15A">
      <w:pPr>
        <w:rPr>
          <w:rFonts w:ascii="Aptos" w:hAnsi="Aptos"/>
        </w:rPr>
      </w:pPr>
    </w:p>
    <w:p w14:paraId="7E352235" w14:textId="1899DCB8" w:rsidR="00C00B42" w:rsidRPr="00B462B1" w:rsidRDefault="71EB50EE" w:rsidP="1BDAE3B3">
      <w:pPr>
        <w:spacing w:after="0"/>
        <w:ind w:left="720"/>
      </w:pPr>
      <w:r w:rsidRPr="241304D2">
        <w:rPr>
          <w:rFonts w:ascii="Aptos" w:eastAsia="Aptos" w:hAnsi="Aptos" w:cs="Aptos"/>
          <w:i/>
          <w:color w:val="212121"/>
        </w:rPr>
        <w:t xml:space="preserve">Fear of Hypoglycemia (FOH) Screener © 2023 Eli Lilly and Company and T1D Exchange, Inc.  Licensed under CC BY-ND 4.0 </w:t>
      </w:r>
      <w:hyperlink r:id="rId9">
        <w:r w:rsidRPr="241304D2">
          <w:rPr>
            <w:rStyle w:val="Hyperlink"/>
            <w:rFonts w:ascii="Aptos" w:eastAsia="Aptos" w:hAnsi="Aptos" w:cs="Aptos"/>
            <w:i/>
          </w:rPr>
          <w:t>https://creativecommons.org/licenses/by-nd/4.0/</w:t>
        </w:r>
      </w:hyperlink>
    </w:p>
    <w:p w14:paraId="3CDE9E6D" w14:textId="77777777" w:rsidR="00C00B42" w:rsidRPr="00B462B1" w:rsidRDefault="00C00B42">
      <w:pPr>
        <w:rPr>
          <w:rFonts w:ascii="Aptos" w:hAnsi="Aptos"/>
        </w:rPr>
      </w:pPr>
    </w:p>
    <w:sectPr w:rsidR="00C00B42" w:rsidRPr="00B46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2396A"/>
    <w:multiLevelType w:val="hybridMultilevel"/>
    <w:tmpl w:val="A06A9844"/>
    <w:lvl w:ilvl="0" w:tplc="39B2C5A6">
      <w:start w:val="1"/>
      <w:numFmt w:val="decimal"/>
      <w:lvlText w:val="%1."/>
      <w:lvlJc w:val="left"/>
      <w:pPr>
        <w:ind w:left="720" w:hanging="360"/>
      </w:pPr>
    </w:lvl>
    <w:lvl w:ilvl="1" w:tplc="E3F6D5A8">
      <w:start w:val="1"/>
      <w:numFmt w:val="lowerLetter"/>
      <w:lvlText w:val="%2."/>
      <w:lvlJc w:val="left"/>
      <w:pPr>
        <w:ind w:left="1440" w:hanging="360"/>
      </w:pPr>
    </w:lvl>
    <w:lvl w:ilvl="2" w:tplc="05DC1E24">
      <w:start w:val="1"/>
      <w:numFmt w:val="lowerRoman"/>
      <w:lvlText w:val="%3."/>
      <w:lvlJc w:val="right"/>
      <w:pPr>
        <w:ind w:left="2160" w:hanging="180"/>
      </w:pPr>
    </w:lvl>
    <w:lvl w:ilvl="3" w:tplc="C37E73B8">
      <w:start w:val="1"/>
      <w:numFmt w:val="decimal"/>
      <w:lvlText w:val="%4."/>
      <w:lvlJc w:val="left"/>
      <w:pPr>
        <w:ind w:left="2880" w:hanging="360"/>
      </w:pPr>
    </w:lvl>
    <w:lvl w:ilvl="4" w:tplc="F6D260B8">
      <w:start w:val="1"/>
      <w:numFmt w:val="lowerLetter"/>
      <w:lvlText w:val="%5."/>
      <w:lvlJc w:val="left"/>
      <w:pPr>
        <w:ind w:left="3600" w:hanging="360"/>
      </w:pPr>
    </w:lvl>
    <w:lvl w:ilvl="5" w:tplc="D3DC51FE">
      <w:start w:val="1"/>
      <w:numFmt w:val="lowerRoman"/>
      <w:lvlText w:val="%6."/>
      <w:lvlJc w:val="right"/>
      <w:pPr>
        <w:ind w:left="4320" w:hanging="180"/>
      </w:pPr>
    </w:lvl>
    <w:lvl w:ilvl="6" w:tplc="D2C6798A">
      <w:start w:val="1"/>
      <w:numFmt w:val="decimal"/>
      <w:lvlText w:val="%7."/>
      <w:lvlJc w:val="left"/>
      <w:pPr>
        <w:ind w:left="5040" w:hanging="360"/>
      </w:pPr>
    </w:lvl>
    <w:lvl w:ilvl="7" w:tplc="4058D1B4">
      <w:start w:val="1"/>
      <w:numFmt w:val="lowerLetter"/>
      <w:lvlText w:val="%8."/>
      <w:lvlJc w:val="left"/>
      <w:pPr>
        <w:ind w:left="5760" w:hanging="360"/>
      </w:pPr>
    </w:lvl>
    <w:lvl w:ilvl="8" w:tplc="64FEE12E">
      <w:start w:val="1"/>
      <w:numFmt w:val="lowerRoman"/>
      <w:lvlText w:val="%9."/>
      <w:lvlJc w:val="right"/>
      <w:pPr>
        <w:ind w:left="6480" w:hanging="180"/>
      </w:pPr>
    </w:lvl>
  </w:abstractNum>
  <w:abstractNum w:abstractNumId="1" w15:restartNumberingAfterBreak="0">
    <w:nsid w:val="4CC907F0"/>
    <w:multiLevelType w:val="hybridMultilevel"/>
    <w:tmpl w:val="40B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61D0F"/>
    <w:multiLevelType w:val="hybridMultilevel"/>
    <w:tmpl w:val="303E1DAC"/>
    <w:lvl w:ilvl="0" w:tplc="6742D5D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6307">
    <w:abstractNumId w:val="1"/>
  </w:num>
  <w:num w:numId="2" w16cid:durableId="1736010716">
    <w:abstractNumId w:val="0"/>
  </w:num>
  <w:num w:numId="3" w16cid:durableId="2143845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90"/>
    <w:rsid w:val="000C6D86"/>
    <w:rsid w:val="001C58B2"/>
    <w:rsid w:val="001D3878"/>
    <w:rsid w:val="001D4D36"/>
    <w:rsid w:val="001E672D"/>
    <w:rsid w:val="00200E51"/>
    <w:rsid w:val="002055B5"/>
    <w:rsid w:val="00315990"/>
    <w:rsid w:val="00325CC3"/>
    <w:rsid w:val="00340673"/>
    <w:rsid w:val="003418FB"/>
    <w:rsid w:val="003748FD"/>
    <w:rsid w:val="003D07FC"/>
    <w:rsid w:val="0046712C"/>
    <w:rsid w:val="004B108A"/>
    <w:rsid w:val="00566ADF"/>
    <w:rsid w:val="00587874"/>
    <w:rsid w:val="00607E19"/>
    <w:rsid w:val="00724AB4"/>
    <w:rsid w:val="00735576"/>
    <w:rsid w:val="007D67C6"/>
    <w:rsid w:val="0088117D"/>
    <w:rsid w:val="008E17E6"/>
    <w:rsid w:val="009551A4"/>
    <w:rsid w:val="00961722"/>
    <w:rsid w:val="00AA55A1"/>
    <w:rsid w:val="00B066CB"/>
    <w:rsid w:val="00B462B1"/>
    <w:rsid w:val="00B8040C"/>
    <w:rsid w:val="00BC5E73"/>
    <w:rsid w:val="00C00B42"/>
    <w:rsid w:val="00C0438D"/>
    <w:rsid w:val="00C12C8A"/>
    <w:rsid w:val="00C37715"/>
    <w:rsid w:val="00C538F4"/>
    <w:rsid w:val="00D17BFB"/>
    <w:rsid w:val="00D4260A"/>
    <w:rsid w:val="00D51E34"/>
    <w:rsid w:val="00DC38DA"/>
    <w:rsid w:val="00DF6CAB"/>
    <w:rsid w:val="00E24486"/>
    <w:rsid w:val="00E53E8F"/>
    <w:rsid w:val="00E824D3"/>
    <w:rsid w:val="00ED5E18"/>
    <w:rsid w:val="00EE46A7"/>
    <w:rsid w:val="00EE67BD"/>
    <w:rsid w:val="00F10C3F"/>
    <w:rsid w:val="00F84855"/>
    <w:rsid w:val="00F971E6"/>
    <w:rsid w:val="07B68B2C"/>
    <w:rsid w:val="11EAB2A2"/>
    <w:rsid w:val="1B1A3E6D"/>
    <w:rsid w:val="1BDAE3B3"/>
    <w:rsid w:val="241304D2"/>
    <w:rsid w:val="2CE2C545"/>
    <w:rsid w:val="36FFC15A"/>
    <w:rsid w:val="4B6AFBC7"/>
    <w:rsid w:val="71EB50EE"/>
    <w:rsid w:val="7C584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C491"/>
  <w15:chartTrackingRefBased/>
  <w15:docId w15:val="{44D8CD47-CE2F-4CF1-B5B9-A0E09662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715"/>
  </w:style>
  <w:style w:type="paragraph" w:styleId="Heading1">
    <w:name w:val="heading 1"/>
    <w:basedOn w:val="Normal"/>
    <w:next w:val="Normal"/>
    <w:link w:val="Heading1Char"/>
    <w:uiPriority w:val="9"/>
    <w:qFormat/>
    <w:rsid w:val="00C37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71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37715"/>
    <w:pPr>
      <w:ind w:left="720"/>
      <w:contextualSpacing/>
    </w:pPr>
  </w:style>
  <w:style w:type="table" w:styleId="TableGrid">
    <w:name w:val="Table Grid"/>
    <w:basedOn w:val="TableNormal"/>
    <w:uiPriority w:val="39"/>
    <w:rsid w:val="00C37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C37715"/>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character" w:styleId="Hyperlink">
    <w:name w:val="Hyperlink"/>
    <w:basedOn w:val="DefaultParagraphFont"/>
    <w:uiPriority w:val="99"/>
    <w:unhideWhenUsed/>
    <w:rsid w:val="00B804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12.safelinks.protection.outlook.com/?url=https%3A%2F%2Furldefense.com%2Fv3%2F__https%3A%2Fcreativecommons.org%2Flicenses%2Fby-nd%2F4.0%2F__%3B!!A_kSX19cfVk!HaSAHR_GT6t_kxK0jtiwGMFxrZFtrw253J_8ZioqOHTjVrYVCXX2r4xTkNOy3B54IwnnJ3cDfJq2b_PPTwD-jXdyTdQO%24&amp;data=05%7C02%7Cnrioles%40t1dexchange.org%7C5f58b234d8074ae78c0a08de31cdbb8c%7Ca2d9458d2db9476ead1f08c5647501f8%7C0%7C0%7C639002956860677959%7CUnknown%7CTWFpbGZsb3d8eyJFbXB0eU1hcGkiOnRydWUsIlYiOiIwLjAuMDAwMCIsIlAiOiJXaW4zMiIsIkFOIjoiTWFpbCIsIldUIjoyfQ%3D%3D%7C0%7C%7C%7C&amp;sdata=JWJyUYCB0Z84%2BLgPIaOyPjzQDAow%2BD8EI%2FjdY2m3Lr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d5f01a-2d8b-4100-96cb-a711553b04d3">
      <UserInfo>
        <DisplayName>Holly Hardison</DisplayName>
        <AccountId>276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868B47511364DA9BCE63C7DC70426" ma:contentTypeVersion="12" ma:contentTypeDescription="Create a new document." ma:contentTypeScope="" ma:versionID="7b341befc3abb96df620f7ebdace4ee4">
  <xsd:schema xmlns:xsd="http://www.w3.org/2001/XMLSchema" xmlns:xs="http://www.w3.org/2001/XMLSchema" xmlns:p="http://schemas.microsoft.com/office/2006/metadata/properties" xmlns:ns2="0d3e3e07-c8c4-43ac-abc7-35113ae8f334" xmlns:ns3="1cd5f01a-2d8b-4100-96cb-a711553b04d3" targetNamespace="http://schemas.microsoft.com/office/2006/metadata/properties" ma:root="true" ma:fieldsID="20e612544a10af475308d482115e6085" ns2:_="" ns3:_="">
    <xsd:import namespace="0d3e3e07-c8c4-43ac-abc7-35113ae8f334"/>
    <xsd:import namespace="1cd5f01a-2d8b-4100-96cb-a711553b04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e3e07-c8c4-43ac-abc7-35113ae8f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5f01a-2d8b-4100-96cb-a711553b04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02FCA-CD99-4E41-A1FF-8FDCD469DE4A}">
  <ds:schemaRefs>
    <ds:schemaRef ds:uri="http://schemas.microsoft.com/office/2006/metadata/properties"/>
    <ds:schemaRef ds:uri="http://schemas.microsoft.com/office/infopath/2007/PartnerControls"/>
    <ds:schemaRef ds:uri="1cd5f01a-2d8b-4100-96cb-a711553b04d3"/>
  </ds:schemaRefs>
</ds:datastoreItem>
</file>

<file path=customXml/itemProps2.xml><?xml version="1.0" encoding="utf-8"?>
<ds:datastoreItem xmlns:ds="http://schemas.openxmlformats.org/officeDocument/2006/customXml" ds:itemID="{32F6A5D1-F408-4936-99C1-3490AFB6A486}">
  <ds:schemaRefs>
    <ds:schemaRef ds:uri="http://schemas.microsoft.com/sharepoint/v3/contenttype/forms"/>
  </ds:schemaRefs>
</ds:datastoreItem>
</file>

<file path=customXml/itemProps3.xml><?xml version="1.0" encoding="utf-8"?>
<ds:datastoreItem xmlns:ds="http://schemas.openxmlformats.org/officeDocument/2006/customXml" ds:itemID="{F8B818BD-D7A5-4567-AD7D-4F9FBC453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e3e07-c8c4-43ac-abc7-35113ae8f334"/>
    <ds:schemaRef ds:uri="1cd5f01a-2d8b-4100-96cb-a711553b0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Jingwen Liu</dc:creator>
  <cp:keywords/>
  <dc:description/>
  <cp:lastModifiedBy>Claire Rainey</cp:lastModifiedBy>
  <cp:revision>17</cp:revision>
  <dcterms:created xsi:type="dcterms:W3CDTF">2025-12-02T15:40:00Z</dcterms:created>
  <dcterms:modified xsi:type="dcterms:W3CDTF">2025-12-09T22:33:00Z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0x0101009CF868B47511364DA9BCE63C7DC70426</vt:lpwstr>
  </property>
</Properties>
</file>